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700</w:t>
      </w:r>
      <w:r>
        <w:rPr/>
        <w:tab/>
        <w:t xml:space="preserve"/>
      </w:r>
      <w:r>
        <w:rPr/>
        <w:t xml:space="preserve">HIGHWAY </w:t>
      </w:r>
      <w:r>
        <w:rPr/>
        <w:t xml:space="preserve">SIGNING</w:t>
      </w:r>
      <w:r>
        <w:rPr/>
        <w:t xml:space="preserve">.</w:t>
      </w:r>
    </w:p>
    <w:p>
      <w:pPr>
        <w:pStyle w:val="Dates"/>
        <w:spacing/>
        <w:rPr/>
      </w:pPr>
      <w:r>
        <w:rPr/>
        <w:tab/>
        <w:t xml:space="preserve"/>
      </w:r>
      <w:r>
        <w:rPr/>
        <w:t xml:space="preserve">(REV 4-1-15)</w:t>
      </w:r>
      <w:r>
        <w:rPr/>
        <w:t xml:space="preserve"> (FA 4-8-15) (7-15)</w:t>
      </w:r>
    </w:p>
    <w:p>
      <w:pPr>
        <w:pStyle w:val="LeadInSentence"/>
        <w:spacing/>
        <w:rPr/>
      </w:pPr>
      <w:r>
        <w:rPr/>
        <w:t xml:space="preserve">SUBARTICLE 700-4.5 is deleted and the following substituted:</w:t>
      </w:r>
    </w:p>
    <w:p>
      <w:pPr>
        <w:pStyle w:val="BodyText"/>
        <w:spacing/>
        <w:rPr/>
      </w:pPr>
      <w:r>
        <w:rPr>
          <w:rStyle w:val="CommentSubjectChar"/>
          <w:bCs w:val="0"/>
        </w:rPr>
        <w:tab/>
        <w:t xml:space="preserve"/>
      </w:r>
      <w:r>
        <w:rPr>
          <w:rStyle w:val="CommentSubjectChar"/>
          <w:bCs w:val="0"/>
        </w:rPr>
        <w:t xml:space="preserve">700-4.5 Main Power Supply and Energy Distribution Specifications:</w:t>
      </w:r>
      <w:r>
        <w:rPr/>
        <w:t xml:space="preserve"> </w:t>
      </w:r>
      <w:r>
        <w:rPr/>
        <w:t xml:space="preserve">Provide a nominal single-phase power line voltage of 120/240</w:t>
      </w:r>
      <w:r>
        <w:rPr/>
        <w:t xml:space="preserve"> </w:t>
      </w:r>
      <w:r>
        <w:rPr/>
        <w:t xml:space="preserve">VAC. Ensure the DMS meets the requirements of NEMA</w:t>
      </w:r>
      <w:r>
        <w:rPr/>
        <w:t xml:space="preserve"> </w:t>
      </w:r>
      <w:r>
        <w:rPr/>
        <w:t xml:space="preserve">TS</w:t>
      </w:r>
      <w:r>
        <w:rPr/>
        <w:t xml:space="preserve"> </w:t>
      </w:r>
      <w:r>
        <w:rPr/>
        <w:t xml:space="preserve">4</w:t>
      </w:r>
      <w:r>
        <w:rPr/>
        <w:t xml:space="preserve">-</w:t>
      </w:r>
      <w:r>
        <w:rPr/>
        <w:t xml:space="preserve">2005, </w:t>
      </w:r>
      <w:r>
        <w:rPr/>
        <w:t xml:space="preserve">S</w:t>
      </w:r>
      <w:r>
        <w:rPr/>
        <w:t xml:space="preserve">ection</w:t>
      </w:r>
      <w:r>
        <w:rPr/>
        <w:t xml:space="preserve"> </w:t>
      </w:r>
      <w:r>
        <w:rPr/>
        <w:t xml:space="preserve">10.2.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Ensure</w:t>
      </w:r>
      <w:r>
        <w:rPr/>
        <w:t xml:space="preserve"> all 120 VAC wiring </w:t>
      </w:r>
      <w:r>
        <w:rPr/>
        <w:t xml:space="preserve">has an overall nonmetallic jacket or is placed </w:t>
      </w:r>
      <w:r>
        <w:rPr/>
        <w:t xml:space="preserve">in </w:t>
      </w:r>
      <w:r>
        <w:rPr/>
        <w:t xml:space="preserve">metal </w:t>
      </w:r>
      <w:r>
        <w:rPr/>
        <w:t xml:space="preserve">conduit, pull boxes, raceways, or control cabinets </w:t>
      </w:r>
      <w:r>
        <w:rPr/>
        <w:t xml:space="preserve">and installed </w:t>
      </w:r>
      <w:r>
        <w:rPr/>
        <w:t xml:space="preserve">as required by the NEC. Do not use the sign housing as a wiring raceway or control cabinet.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Provide Type</w:t>
      </w:r>
      <w:r>
        <w:rPr/>
        <w:t xml:space="preserve"> </w:t>
      </w:r>
      <w:r>
        <w:rPr/>
        <w:t xml:space="preserve">XHHW power cables sized as required by the NEC for acceptable voltage drops while supplying alternating current to the sign.</w:t>
      </w:r>
    </w:p>
    <w:p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Ensure </w:t>
      </w:r>
      <w:r>
        <w:rPr/>
        <w:t xml:space="preserve">surge protective devices (SPD) </w:t>
      </w:r>
      <w:r>
        <w:rPr/>
        <w:t xml:space="preserve">are </w:t>
      </w:r>
      <w:r>
        <w:rPr/>
        <w:t xml:space="preserve">installed or incorporated in the sign system by the manufacturer to guard against lightning, transient voltage surges, and induced current. Ensure that SPDs meet or exceed the requirements of </w:t>
      </w:r>
      <w:r>
        <w:rPr/>
        <w:t xml:space="preserve">Section 620</w:t>
      </w:r>
      <w:r>
        <w:rPr/>
        <w:t xml:space="preserve">. Ensure SPDs protect all electric power and data communication connections.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p>
      <w:pPr>
        <w:pStyle w:val="LeadInSentence"/>
        <w:spacing/>
        <w:rPr/>
      </w:pPr>
      <w:r>
        <w:rPr/>
        <w:t xml:space="preserve">SUBARTICLE 700-4.8.4 is deleted and the following substituted:</w:t>
      </w:r>
    </w:p>
    <w:p>
      <w:pPr>
        <w:spacing/>
        <w:rPr/>
      </w:pPr>
      <w:r>
        <w:rPr>
          <w:rStyle w:val="CommentSubjectChar"/>
        </w:rPr>
        <w:tab/>
        <w:t xml:space="preserve"/>
      </w:r>
      <w:r>
        <w:rPr>
          <w:rStyle w:val="CommentSubjectChar"/>
        </w:rPr>
        <w:tab/>
        <w:t xml:space="preserve"/>
      </w:r>
      <w:r>
        <w:rPr>
          <w:rStyle w:val="CommentSubjectChar"/>
        </w:rPr>
        <w:t xml:space="preserve">700-4.8.4 Control Cabinet:</w:t>
      </w:r>
      <w:r>
        <w:rPr/>
        <w:t xml:space="preserve"> Provide a control cabinet that meets the requirements of </w:t>
      </w:r>
      <w:r>
        <w:rPr/>
        <w:t xml:space="preserve">Section 676</w:t>
      </w:r>
      <w:r>
        <w:rPr/>
        <w:t xml:space="preserve">. Ensure that the minimum height of the cabinet is 46 inches.</w:t>
      </w:r>
    </w:p>
    <w:p>
      <w:pPr>
        <w:widowControl w:val="true"/>
        <w:spacing/>
        <w:rPr>
          <w:rFonts w:ascii="TimesNewRomanPSMT" w:hAnsi="TimesNewRomanPSMT" w:eastAsia="TimesNewRomanPSMT" w:cs="TimesNewRomanPSMT"/>
        </w:rPr>
      </w:pPr>
      <w:r>
        <w:rPr>
          <w:rFonts w:ascii="TimesNewRomanPSMT" w:hAnsi="TimesNewRomanPSMT" w:eastAsia="TimesNewRomanPSMT" w:cs="TimesNewRomanPSMT"/>
        </w:rPr>
        <w:tab/>
        <w:t xml:space="preserve"/>
      </w:r>
      <w:r>
        <w:rPr>
          <w:rFonts w:ascii="TimesNewRomanPSMT" w:hAnsi="TimesNewRomanPSMT" w:eastAsia="TimesNewRomanPSMT" w:cs="TimesNewRomanPSMT"/>
        </w:rPr>
        <w:tab/>
        <w:t xml:space="preserve"/>
      </w:r>
      <w:r>
        <w:rPr>
          <w:rFonts w:ascii="TimesNewRomanPSMT" w:hAnsi="TimesNewRomanPSMT" w:eastAsia="TimesNewRomanPSMT" w:cs="TimesNewRomanPSMT"/>
        </w:rPr>
        <w:tab/>
        <w:t xml:space="preserve"/>
      </w:r>
      <w:r>
        <w:rPr>
          <w:rFonts w:ascii="TimesNewRomanPSMT" w:hAnsi="TimesNewRomanPSMT" w:eastAsia="TimesNewRomanPSMT" w:cs="TimesNewRomanPSMT"/>
        </w:rPr>
        <w:t xml:space="preserve">Provide a ground control cabinet that includes the following assemblies and components: power indicator, surge suppression on both sides of all electronics, communication interface devices, connection for a laptop computer for local control and programming, a </w:t>
      </w:r>
      <w:r>
        <w:rPr>
          <w:rFonts w:ascii="TimesNewRomanPSMT" w:hAnsi="TimesNewRomanPSMT" w:eastAsia="TimesNewRomanPSMT" w:cs="TimesNewRomanPSMT"/>
        </w:rPr>
        <w:t xml:space="preserve">four </w:t>
      </w:r>
      <w:r>
        <w:rPr>
          <w:rFonts w:ascii="TimesNewRomanPSMT" w:hAnsi="TimesNewRomanPSMT" w:eastAsia="TimesNewRomanPSMT" w:cs="TimesNewRomanPSMT"/>
        </w:rPr>
        <w:t xml:space="preserve">foot long cable to connect laptop computers, a workspace for a laptop computer, and duplex outlets.</w:t>
      </w:r>
    </w:p>
    <w:p>
      <w:pPr>
        <w:widowControl w:val="true"/>
        <w:spacing/>
        <w:rPr>
          <w:rFonts w:ascii="TimesNewRomanPSMT" w:hAnsi="TimesNewRomanPSMT" w:eastAsia="TimesNewRomanPSMT" w:cs="TimesNewRomanPSMT"/>
        </w:rPr>
      </w:pPr>
      <w:r>
        <w:rPr>
          <w:rFonts w:ascii="TimesNewRomanPSMT" w:hAnsi="TimesNewRomanPSMT" w:eastAsia="TimesNewRomanPSMT" w:cs="TimesNewRomanPSMT"/>
        </w:rPr>
        <w:tab/>
        <w:t xml:space="preserve"/>
      </w:r>
      <w:r>
        <w:rPr>
          <w:rFonts w:ascii="TimesNewRomanPSMT" w:hAnsi="TimesNewRomanPSMT" w:eastAsia="TimesNewRomanPSMT" w:cs="TimesNewRomanPSMT"/>
        </w:rPr>
        <w:tab/>
        <w:t xml:space="preserve"/>
      </w:r>
      <w:r>
        <w:rPr>
          <w:rFonts w:ascii="TimesNewRomanPSMT" w:hAnsi="TimesNewRomanPSMT" w:eastAsia="TimesNewRomanPSMT" w:cs="TimesNewRomanPSMT"/>
        </w:rPr>
        <w:tab/>
        <w:t xml:space="preserve"/>
      </w:r>
      <w:r>
        <w:rPr>
          <w:rFonts w:ascii="TimesNewRomanPSMT" w:hAnsi="TimesNewRomanPSMT" w:eastAsia="TimesNewRomanPSMT" w:cs="TimesNewRomanPSMT"/>
        </w:rPr>
        <w:t xml:space="preserve">Provide for all telephone, data, control, power, and confirmation connections between the sign and ground control box, and for any required wiring harnesses and connectors.</w:t>
      </w:r>
    </w:p>
    <w:sectPr>
      <w:headerReference w:type="first" r:id="rId1"/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"/>
    <w:family w:val="roman"/>
    <w:pitch w:val="default"/>
    <w:sig w:usb0="00000003" w:usb1="00000000" w:usb2="00000000" w:usb3="00000000" w:csb0="00000001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>
    <w:pPr>
      <w:pStyle w:val="Header"/>
      <w:spacing/>
      <w:jc w:val="right"/>
      <w:rPr/>
    </w:pPr>
    <w:r>
      <w:rPr/>
      <w:t xml:space="preserve">7000000.D02</w:t>
    </w:r>
  </w:p>
  <w:p>
    <w:pPr>
      <w:pStyle w:val="Header"/>
      <w:spacing/>
      <w:jc w:val="right"/>
      <w:rPr/>
    </w:pPr>
    <w:r>
      <w:rPr/>
      <w:t xml:space="preserve">All Jobs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2190E"/>
    <w:lvl w:ilvl="0">
      <w:start w:val="1"/>
      <w:numFmt w:val="bullet"/>
      <w:suff w:val="tab"/>
      <w:lvlText w:val=""/>
      <w:pPr>
        <w:spacing/>
        <w:ind w:left="144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216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88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360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432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504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76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648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7200" w:hanging="360"/>
      </w:pPr>
      <w:rPr>
        <w:rFonts w:ascii="Wingdings" w:hAnsi="Wingdings" w:eastAsia="Wingdings" w:cs="Wingdings" w:hint="default"/>
      </w:rPr>
    </w:lvl>
  </w:abstractNum>
  <w:abstractNum w:abstractNumId="1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2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3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5">
    <w:nsid w:val="488427D6"/>
    <w:lvl w:ilvl="0">
      <w:start w:val="330"/>
      <w:numFmt w:val="decimal"/>
      <w:suff w:val="tab"/>
      <w:lvlText w:val="%1"/>
      <w:pPr>
        <w:tabs>
          <w:tab w:val="num" w:pos="1335"/>
        </w:tabs>
        <w:spacing/>
        <w:ind w:left="1335" w:hanging="1335"/>
      </w:pPr>
      <w:rPr>
        <w:rFonts w:hint="default"/>
      </w:rPr>
    </w:lvl>
    <w:lvl w:ilvl="1">
      <w:start w:val="12"/>
      <w:numFmt w:val="decimal"/>
      <w:suff w:val="tab"/>
      <w:lvlText w:val="%1-%2"/>
      <w:pPr>
        <w:tabs>
          <w:tab w:val="num" w:pos="1335"/>
        </w:tabs>
        <w:spacing/>
        <w:ind w:left="1335" w:hanging="1335"/>
      </w:pPr>
      <w:rPr>
        <w:rFonts w:hint="default"/>
      </w:rPr>
    </w:lvl>
    <w:lvl w:ilvl="2">
      <w:start w:val="4"/>
      <w:numFmt w:val="decimal"/>
      <w:suff w:val="tab"/>
      <w:lvlText w:val="%1-%2.%3"/>
      <w:pPr>
        <w:tabs>
          <w:tab w:val="num" w:pos="1335"/>
        </w:tabs>
        <w:spacing/>
        <w:ind w:left="1335" w:hanging="1335"/>
      </w:pPr>
      <w:rPr>
        <w:rFonts w:hint="default"/>
      </w:rPr>
    </w:lvl>
    <w:lvl w:ilvl="3">
      <w:start w:val="5"/>
      <w:numFmt w:val="decimal"/>
      <w:suff w:val="tab"/>
      <w:lvlText w:val="%1-%2.%3.%4"/>
      <w:pPr>
        <w:tabs>
          <w:tab w:val="num" w:pos="1335"/>
        </w:tabs>
        <w:spacing/>
        <w:ind w:left="1335" w:hanging="1335"/>
      </w:pPr>
      <w:rPr>
        <w:rFonts w:hint="default"/>
      </w:rPr>
    </w:lvl>
    <w:lvl w:ilvl="4">
      <w:start w:val="3"/>
      <w:numFmt w:val="decimal"/>
      <w:suff w:val="tab"/>
      <w:lvlText w:val="%1-%2.%3.%4.%5"/>
      <w:pPr>
        <w:tabs>
          <w:tab w:val="num" w:pos="1335"/>
        </w:tabs>
        <w:spacing/>
        <w:ind w:left="1335" w:hanging="1335"/>
      </w:pPr>
      <w:rPr>
        <w:rFonts w:hint="default"/>
        <w:b/>
      </w:rPr>
    </w:lvl>
    <w:lvl w:ilvl="5">
      <w:start w:val="1"/>
      <w:numFmt w:val="decimal"/>
      <w:suff w:val="tab"/>
      <w:lvlText w:val="%1-%2.%3.%4.%5.%6"/>
      <w:pPr>
        <w:tabs>
          <w:tab w:val="num" w:pos="1335"/>
        </w:tabs>
        <w:spacing/>
        <w:ind w:left="1335" w:hanging="1335"/>
      </w:pPr>
      <w:rPr>
        <w:rFonts w:hint="default"/>
      </w:rPr>
    </w:lvl>
    <w:lvl w:ilvl="6">
      <w:start w:val="1"/>
      <w:numFmt w:val="decimal"/>
      <w:suff w:val="tab"/>
      <w:lvlText w:val="%1-%2.%3.%4.%5.%6.%7"/>
      <w:pPr>
        <w:tabs>
          <w:tab w:val="num" w:pos="1440"/>
        </w:tabs>
        <w:spacing/>
        <w:ind w:left="1440" w:hanging="1440"/>
      </w:pPr>
      <w:rPr>
        <w:rFonts w:hint="default"/>
      </w:rPr>
    </w:lvl>
    <w:lvl w:ilvl="7">
      <w:start w:val="1"/>
      <w:numFmt w:val="decimal"/>
      <w:suff w:val="tab"/>
      <w:lvlText w:val="%1-%2.%3.%4.%5.%6.%7.%8"/>
      <w:pPr>
        <w:tabs>
          <w:tab w:val="num" w:pos="1440"/>
        </w:tabs>
        <w:spacing/>
        <w:ind w:left="1440" w:hanging="1440"/>
      </w:pPr>
      <w:rPr>
        <w:rFonts w:hint="default"/>
      </w:rPr>
    </w:lvl>
    <w:lvl w:ilvl="8">
      <w:start w:val="1"/>
      <w:numFmt w:val="decimal"/>
      <w:suff w:val="tab"/>
      <w:lvlText w:val="%1-%2.%3.%4.%5.%6.%7.%8.%9"/>
      <w:pPr>
        <w:tabs>
          <w:tab w:val="num" w:pos="1800"/>
        </w:tabs>
        <w:spacing/>
        <w:ind w:left="1800" w:hanging="1800"/>
      </w:pPr>
      <w:rPr>
        <w:rFonts w:hint="default"/>
      </w:rPr>
    </w:lvl>
  </w:abstractNum>
  <w:abstractNum w:abstractNumId="6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7">
    <w:nsid w:val="67642655"/>
    <w:lvl w:ilvl="0">
      <w:start w:val="2"/>
      <w:numFmt w:val="decimal"/>
      <w:suff w:val="tab"/>
      <w:lvlText w:val="%1."/>
      <w:pPr>
        <w:tabs>
          <w:tab w:val="num" w:pos="1080"/>
        </w:tabs>
        <w:spacing/>
        <w:ind w:left="1080" w:hanging="360"/>
      </w:pPr>
      <w:rPr>
        <w:rFonts w:hint="default"/>
      </w:rPr>
    </w:lvl>
    <w:lvl w:ilvl="1">
      <w:start w:val="1"/>
      <w:numFmt w:val="lowerLetter"/>
      <w:suff w:val="tab"/>
      <w:lvlText w:val="%2."/>
      <w:pPr>
        <w:tabs>
          <w:tab w:val="num" w:pos="1800"/>
        </w:tabs>
        <w:spacing/>
        <w:ind w:left="180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520"/>
        </w:tabs>
        <w:spacing/>
        <w:ind w:left="2520" w:hanging="180"/>
      </w:pPr>
      <w:rPr/>
    </w:lvl>
    <w:lvl w:ilvl="3">
      <w:start w:val="1"/>
      <w:numFmt w:val="decimal"/>
      <w:suff w:val="tab"/>
      <w:lvlText w:val="%4."/>
      <w:pPr>
        <w:tabs>
          <w:tab w:val="num" w:pos="3240"/>
        </w:tabs>
        <w:spacing/>
        <w:ind w:left="3240" w:hanging="360"/>
      </w:pPr>
      <w:rPr/>
    </w:lvl>
    <w:lvl w:ilvl="4">
      <w:start w:val="1"/>
      <w:numFmt w:val="lowerLetter"/>
      <w:suff w:val="tab"/>
      <w:lvlText w:val="%5."/>
      <w:pPr>
        <w:tabs>
          <w:tab w:val="num" w:pos="3960"/>
        </w:tabs>
        <w:spacing/>
        <w:ind w:left="396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680"/>
        </w:tabs>
        <w:spacing/>
        <w:ind w:left="4680" w:hanging="180"/>
      </w:pPr>
      <w:rPr/>
    </w:lvl>
    <w:lvl w:ilvl="6">
      <w:start w:val="1"/>
      <w:numFmt w:val="decimal"/>
      <w:suff w:val="tab"/>
      <w:lvlText w:val="%7."/>
      <w:pPr>
        <w:tabs>
          <w:tab w:val="num" w:pos="5400"/>
        </w:tabs>
        <w:spacing/>
        <w:ind w:left="5400" w:hanging="360"/>
      </w:pPr>
      <w:rPr/>
    </w:lvl>
    <w:lvl w:ilvl="7">
      <w:start w:val="1"/>
      <w:numFmt w:val="lowerLetter"/>
      <w:suff w:val="tab"/>
      <w:lvlText w:val="%8."/>
      <w:pPr>
        <w:tabs>
          <w:tab w:val="num" w:pos="6120"/>
        </w:tabs>
        <w:spacing/>
        <w:ind w:left="612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840"/>
        </w:tabs>
        <w:spacing/>
        <w:ind w:left="6840" w:hanging="180"/>
      </w:pPr>
      <w:rPr/>
    </w:lvl>
  </w:abstractNum>
  <w:abstractNum w:abstractNumId="8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9">
    <w:nsid w:val="6D1A5662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decimal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decimal"/>
      <w:suff w:val="tab"/>
      <w:lvlText w:val="%3."/>
      <w:pPr>
        <w:tabs>
          <w:tab w:val="num" w:pos="2160"/>
        </w:tabs>
        <w:spacing/>
        <w:ind w:left="2160" w:hanging="36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decimal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decimal"/>
      <w:suff w:val="tab"/>
      <w:lvlText w:val="%6."/>
      <w:pPr>
        <w:tabs>
          <w:tab w:val="num" w:pos="4320"/>
        </w:tabs>
        <w:spacing/>
        <w:ind w:left="4320" w:hanging="36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decimal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decimal"/>
      <w:suff w:val="tab"/>
      <w:lvlText w:val="%9."/>
      <w:pPr>
        <w:tabs>
          <w:tab w:val="num" w:pos="6480"/>
        </w:tabs>
        <w:spacing/>
        <w:ind w:left="6480" w:hanging="360"/>
      </w:pPr>
      <w:rPr/>
    </w:lvl>
  </w:abstractNum>
  <w:abstractNum w:abstractNumId="10">
    <w:nsid w:val="6D4C5551"/>
    <w:lvl w:ilvl="0">
      <w:start w:val="330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eastAsia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view w:val="web"/>
  <w:zoom w:val="none" w:percent="100"/>
  <w:embedSystemFonts xmlns:w="http://schemas.openxmlformats.org/wordprocessingml/2006/main"/>
  <w:activeWritingStyle xmlns:w="http://schemas.openxmlformats.org/wordprocessingml/2006/main" w:appName="MSWord" w:lang="en-US" w:vendorID="64" w:dllVersion="6" w:nlCheck="1" w:checkStyle="1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xmlns:w="http://schemas.openxmlformats.org/wordprocessingml/2006/main" w:val="120"/>
  <w:displayHorizontalDrawingGridEvery xmlns:w="http://schemas.openxmlformats.org/wordprocessingml/2006/main" w:val="2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3"/>
    </w:numPr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5">
    <w:name w:val="Heading 5"/>
    <w:basedOn w:val="Normal"/>
    <w:next w:val="Normal"/>
    <w:link w:val="Heading5Char"/>
    <w:qFormat/>
    <w:pPr>
      <w:keepNext/>
      <w:spacing/>
      <w:jc w:val="center"/>
      <w:outlineLvl w:val="4"/>
    </w:pPr>
    <w:rPr>
      <w:rFonts w:ascii="Goudy Old Style" w:hAnsi="Goudy Old Style" w:eastAsia="Goudy Old Style" w:cs="Goudy Old Style"/>
      <w:b/>
      <w:bCs/>
      <w:sz w:val="1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next w:val="Normal"/>
    <w:link w:val="HeaderCha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/>
    </w:pPr>
    <w:rPr>
      <w:sz w:val="22"/>
    </w:rPr>
  </w:style>
  <w:style w:type="paragraph" w:styleId="Section80" w:customStyle="1">
    <w:name w:val="Section8"/>
    <w:basedOn w:val="Normal"/>
    <w:numPr>
      <w:ilvl w:val="0"/>
      <w:numId w:val="5"/>
    </w:numPr>
    <w:pPr>
      <w:numPr>
        <w:ilvl w:val="0"/>
        <w:numId w:val="5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7"/>
    </w:numPr>
    <w:pPr>
      <w:numPr>
        <w:ilvl w:val="0"/>
        <w:numId w:val="7"/>
      </w:numPr>
      <w:tabs>
        <w:tab w:val="left" w:pos="720"/>
        <w:tab w:val="left" w:pos="2160"/>
      </w:tabs>
      <w:spacing/>
      <w:outlineLvl w:val="8"/>
    </w:pPr>
    <w:rPr/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link w:val="LeadInSentenceChar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sz w:val="24"/>
    </w:rPr>
  </w:style>
  <w:style w:type="paragraph" w:styleId="DocumentMap">
    <w:name w:val="Document Map"/>
    <w:basedOn w:val="Normal"/>
    <w:pPr>
      <w:shd w:val="clear" w:color="auto" w:fill="000080"/>
      <w:spacing/>
    </w:pPr>
    <w:rPr>
      <w:rFonts w:ascii="Tahoma" w:hAnsi="Tahoma" w:eastAsia="Tahoma" w:cs="Tahoma"/>
    </w:rPr>
  </w:style>
  <w:style w:type="paragraph" w:styleId="BodyTextIndent">
    <w:name w:val="Body Text Indent"/>
    <w:basedOn w:val="Normal"/>
    <w:pPr>
      <w:tabs>
        <w:tab w:val="left" w:pos="1440"/>
      </w:tabs>
      <w:spacing/>
      <w:ind w:left="1440" w:hanging="1440"/>
    </w:pPr>
    <w:rPr>
      <w:b/>
      <w:bCs/>
    </w:rPr>
  </w:style>
  <w:style w:type="paragraph" w:styleId="Section1020" w:customStyle="1">
    <w:name w:val="Section 102"/>
    <w:basedOn w:val="Heading9"/>
    <w:numPr>
      <w:ilvl w:val="0"/>
      <w:numId w:val="9"/>
    </w:numPr>
    <w:pPr>
      <w:widowControl w:val="false"/>
      <w:numPr>
        <w:ilvl w:val="0"/>
        <w:numId w:val="9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ction8" w:customStyle="1">
    <w:name w:val="Section 8"/>
    <w:basedOn w:val="Heading8"/>
    <w:next w:val="Dates"/>
    <w:numPr>
      <w:ilvl w:val="0"/>
      <w:numId w:val="4"/>
    </w:numPr>
    <w:pPr>
      <w:keepLines/>
      <w:numPr>
        <w:ilvl w:val="0"/>
        <w:numId w:val="4"/>
      </w:numPr>
      <w:spacing w:before="0" w:after="0"/>
    </w:pPr>
    <w:rPr>
      <w:szCs w:val="24"/>
    </w:rPr>
  </w:style>
  <w:style w:type="paragraph" w:styleId="Dates" w:customStyle="1">
    <w:name w:val="Dates"/>
    <w:basedOn w:val="Article"/>
    <w:next w:val="LeadInSentence"/>
    <w:link w:val="DatesChar"/>
    <w:pPr>
      <w:spacing w:before="0" w:after="240"/>
      <w:contextualSpacing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character" w:styleId="HeaderChar" w:customStyle="1">
    <w:name w:val="Header Char"/>
    <w:basedOn w:val="DefaultParagraphFont"/>
    <w:link w:val="Header"/>
    <w:rPr>
      <w:sz w:val="24"/>
      <w:szCs w:val="24"/>
    </w:rPr>
  </w:style>
  <w:style w:type="character" w:styleId="BodyTextChar" w:customStyle="1">
    <w:name w:val="Body Text Char"/>
    <w:basedOn w:val="DefaultParagraphFont"/>
    <w:link w:val="BodyText"/>
    <w:rPr>
      <w:sz w:val="24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styleId="FooterChar" w:customStyle="1">
    <w:name w:val="Footer Char"/>
    <w:basedOn w:val="DefaultParagraphFont"/>
    <w:link w:val="Footer"/>
    <w:rPr>
      <w:sz w:val="22"/>
      <w:szCs w:val="24"/>
    </w:rPr>
  </w:style>
  <w:style w:type="character" w:styleId="PageNumber">
    <w:name w:val="Page Number"/>
    <w:basedOn w:val="DefaultParagraphFont"/>
    <w:rPr/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Default" w:customStyle="1">
    <w:name w:val="Default"/>
    <w:pPr>
      <w:autoSpaceDE w:val="false"/>
      <w:autoSpaceDN w:val="false"/>
      <w:adjustRightInd w:val="false"/>
      <w:spacing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character" w:styleId="ArticleChar" w:customStyle="1">
    <w:name w:val="Article Char"/>
    <w:basedOn w:val="DefaultParagraphFont"/>
    <w:link w:val="Article"/>
    <w:rPr>
      <w:b/>
      <w:sz w:val="24"/>
    </w:rPr>
  </w:style>
  <w:style w:type="character" w:styleId="StyleNotBold" w:customStyle="1">
    <w:name w:val="Style Not Bold"/>
    <w:basedOn w:val="DefaultParagraphFont"/>
    <w:rPr/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CommentReference" w:customStyle="1">
    <w:name w:val="annotation reference"/>
    <w:basedOn w:val="DefaultParagraphFont"/>
    <w:rPr>
      <w:sz w:val="16"/>
      <w:szCs w:val="16"/>
    </w:rPr>
  </w:style>
  <w:style w:type="paragraph" w:styleId="CommentText" w:customStyle="1">
    <w:name w:val="annotation text"/>
    <w:basedOn w:val="Normal"/>
    <w:link w:val="CommentTextChar"/>
    <w:pPr>
      <w:spacing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annotationtext"/>
    <w:rPr/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Subdivision" w:customStyle="1">
    <w:name w:val="Subdivision"/>
    <w:basedOn w:val="Normal"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paragraph" w:styleId="BodyTextFirst" w:customStyle="1">
    <w:name w:val="Body Text + First"/>
    <w:basedOn w:val="BodyText"/>
    <w:pPr>
      <w:keepNext/>
      <w:keepLines/>
      <w:widowControl w:val="false"/>
      <w:tabs>
        <w:tab w:val="right" w:leader="dot" w:pos="720"/>
      </w:tabs>
      <w:spacing/>
      <w:ind w:firstLine="1440"/>
    </w:pPr>
    <w:rPr/>
  </w:style>
  <w:style w:type="character" w:styleId="Heading5Char" w:customStyle="1">
    <w:name w:val="Heading 5 Char"/>
    <w:basedOn w:val="DefaultParagraphFont"/>
    <w:link w:val="Heading5"/>
    <w:rPr>
      <w:rFonts w:ascii="Goudy Old Style" w:hAnsi="Goudy Old Style" w:eastAsia="Goudy Old Style" w:cs="Goudy Old Style"/>
      <w:b/>
      <w:bCs/>
      <w:sz w:val="16"/>
      <w:szCs w:val="24"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Calibri"/>
    </w:rPr>
  </w:style>
  <w:style w:type="paragraph" w:styleId="NoSpacing" w:customStyle="1">
    <w:name w:val="No Spacing"/>
    <w:qFormat/>
    <w:pPr>
      <w:spacing/>
    </w:pPr>
    <w:rPr>
      <w:rFonts w:ascii="Calibri" w:hAnsi="Calibri" w:eastAsia="Calibri" w:cs="Calibri"/>
      <w:sz w:val="22"/>
      <w:szCs w:val="22"/>
    </w:rPr>
  </w:style>
  <w:style w:type="character" w:styleId="LeadInSentenceChar" w:customStyle="1">
    <w:name w:val="Lead In Sentence Char"/>
    <w:basedOn w:val="DefaultParagraphFont"/>
    <w:link w:val="LeadInSentence"/>
    <w:rPr>
      <w:sz w:val="24"/>
    </w:rPr>
  </w:style>
  <w:style w:type="character" w:styleId="DatesChar" w:customStyle="1">
    <w:name w:val="Dates Char"/>
    <w:basedOn w:val="ArticleChar"/>
    <w:link w:val="Dates"/>
    <w:rPr>
      <w:b/>
      <w:sz w:val="24"/>
    </w:rPr>
  </w:style>
  <w:style w:type="paragraph" w:styleId="CommentSubject" w:customStyle="1">
    <w:name w:val="annotation subject"/>
    <w:basedOn w:val="CommentText"/>
    <w:next w:val="annotationtext"/>
    <w:link w:val="CommentSubjectChar"/>
    <w:pPr>
      <w:spacing/>
    </w:pPr>
    <w:rPr>
      <w:b/>
      <w:bCs/>
    </w:rPr>
  </w:style>
  <w:style w:type="character" w:styleId="CommentSubjectChar" w:customStyle="1">
    <w:name w:val="Comment Subject Char"/>
    <w:basedOn w:val="DefaultParagraphFont"/>
    <w:link w:val="annotationsubject"/>
    <w:rPr>
      <w:b/>
      <w:bCs/>
    </w:rPr>
  </w:style>
  <w:style w:type="paragraph" w:styleId="Revision" w:customStyle="1">
    <w:name w:val="Revision"/>
    <w:pPr>
      <w:spacing/>
    </w:pPr>
    <w:rPr>
      <w:sz w:val="24"/>
      <w:szCs w:val="24"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Goudy Old Style" w:cs="Goudy Old Style"/>
      <w:sz w:val="36"/>
      <w:szCs w:val="24"/>
    </w:rPr>
  </w:style>
  <w:style w:type="paragraph" w:styleId="StyleBodyTextLeft1" w:customStyle="1">
    <w:name w:val="Style Body Text + Left: 1&quot;"/>
    <w:basedOn w:val="BodyText"/>
    <w:pPr>
      <w:widowControl w:val="false"/>
      <w:spacing/>
      <w:ind w:left="1440"/>
    </w:pPr>
    <w:rPr/>
  </w:style>
  <w:style w:type="character" w:styleId="FollowedHyperlink">
    <w:name w:val="FollowedHyperlink"/>
    <w:basedOn w:val="DefaultParagraphFont"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1" Type="http://schemas.openxmlformats.org/officeDocument/2006/relationships/header" Target="header1.xml" /><Relationship Id="rId6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Documents%20and%20Settings/es968dt/Application%20Data/Microsoft/Template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267</Words>
  <Characters>1525</Characters>
  <Application>Microsoft Office Word</Application>
  <DocSecurity>0</DocSecurity>
  <Lines>12</Lines>
  <Paragraphs>3</Paragraphs>
  <Company>FDOT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sjh</dc:creator>
  <cp:keywords/>
  <dc:description/>
  <cp:lastModifiedBy>Abrahams, Hill</cp:lastModifiedBy>
  <cp:lastPrinted>2008-10-20T17:26:00Z</cp:lastPrinted>
  <cp:revision>2</cp:revision>
  <dcterms:created xsi:type="dcterms:W3CDTF">2019-04-09T23:04:00Z</dcterms:created>
  <dcterms:modified xsi:type="dcterms:W3CDTF">2019-04-09T23:04:00Z</dcterms:modified>
</cp:coreProperties>
</file>