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320</w:t>
      </w:r>
      <w:r>
        <w:rPr/>
        <w:tab/>
        <w:t xml:space="preserve"/>
      </w:r>
      <w:r>
        <w:rPr/>
        <w:t xml:space="preserve">HOT MIX ASPHALT – PLANT METHODS AND EQUIPMENT.</w:t>
      </w:r>
    </w:p>
    <w:p>
      <w:pPr>
        <w:pStyle w:val="Dates"/>
        <w:spacing/>
        <w:rPr/>
      </w:pPr>
      <w:r>
        <w:rPr/>
        <w:tab/>
        <w:t xml:space="preserve"/>
      </w:r>
      <w:r>
        <w:rPr/>
        <w:t xml:space="preserve">(REV </w:t>
      </w:r>
      <w:r>
        <w:rPr/>
        <w:t xml:space="preserve">3-24-16</w:t>
      </w:r>
      <w:r>
        <w:rPr/>
        <w:t xml:space="preserve">)</w:t>
      </w:r>
      <w:r>
        <w:rPr/>
        <w:t xml:space="preserve"> (FA 3-30-16) (7-16)</w:t>
      </w:r>
    </w:p>
    <w:p>
      <w:pPr>
        <w:pStyle w:val="LeadInSentence"/>
        <w:spacing/>
        <w:rPr/>
      </w:pPr>
      <w:r>
        <w:rPr/>
        <w:t xml:space="preserve">SUBARTICLE 320-3.3.2 is deleted and the following substituted: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>
          <w:b/>
          <w:bCs/>
        </w:rPr>
        <w:t xml:space="preserve">320-3.3.2 Storage:</w:t>
      </w:r>
      <w:r>
        <w:rPr/>
        <w:t xml:space="preserve"> </w:t>
      </w:r>
      <w:r>
        <w:rPr/>
        <w:t xml:space="preserve">Equip </w:t>
      </w:r>
      <w:r>
        <w:rPr/>
        <w:t xml:space="preserve">asphalt binder</w:t>
      </w:r>
      <w:r>
        <w:rPr/>
        <w:t xml:space="preserve"> storage tanks to heat </w:t>
      </w:r>
      <w:r>
        <w:rPr/>
        <w:t xml:space="preserve">the </w:t>
      </w:r>
      <w:r>
        <w:rPr/>
        <w:t xml:space="preserve">liquid asphalt </w:t>
      </w:r>
      <w:r>
        <w:rPr/>
        <w:t xml:space="preserve">binder </w:t>
      </w:r>
      <w:r>
        <w:rPr/>
        <w:t xml:space="preserve">to the temperatures required for the various mixtures. Heat </w:t>
      </w:r>
      <w:r>
        <w:rPr/>
        <w:t xml:space="preserve">the material </w:t>
      </w:r>
      <w:r>
        <w:rPr/>
        <w:t xml:space="preserve">in such a manner that </w:t>
      </w:r>
      <w:r>
        <w:rPr/>
        <w:t xml:space="preserve">no flame</w:t>
      </w:r>
      <w:r>
        <w:rPr/>
        <w:t xml:space="preserve"> </w:t>
      </w:r>
      <w:r>
        <w:rPr/>
        <w:t xml:space="preserve">comes in contact with the </w:t>
      </w:r>
      <w:r>
        <w:rPr/>
        <w:t xml:space="preserve">binder</w:t>
      </w:r>
      <w:r>
        <w:rPr/>
        <w:t xml:space="preserve">. H</w:t>
      </w:r>
      <w:r>
        <w:rPr/>
        <w:t xml:space="preserve">eat </w:t>
      </w:r>
      <w:r>
        <w:rPr/>
        <w:t xml:space="preserve">or insulate all </w:t>
      </w:r>
      <w:r>
        <w:rPr/>
        <w:t xml:space="preserve">pipe lines and fittings</w:t>
      </w:r>
      <w:r>
        <w:rPr/>
        <w:t xml:space="preserve">.</w:t>
      </w:r>
      <w:r>
        <w:rPr/>
        <w:t xml:space="preserve"> </w:t>
      </w:r>
      <w:r>
        <w:rPr/>
        <w:t xml:space="preserve">Use a circulating system of adequate size to ensure proper and continuous circulation during the entire operating period. Locate a thermometer, reading from 200 to 400</w:t>
      </w:r>
      <w:r>
        <w:rPr/>
        <w:t xml:space="preserve">°</w:t>
      </w:r>
      <w:r>
        <w:rPr/>
        <w:t xml:space="preserve">F, either in the storage tank or in the </w:t>
      </w:r>
      <w:r>
        <w:rPr/>
        <w:t xml:space="preserve">asphalt binder</w:t>
      </w:r>
      <w:r>
        <w:rPr/>
        <w:t xml:space="preserve"> feed line. </w:t>
      </w:r>
      <w:r>
        <w:rPr/>
        <w:t xml:space="preserve">Maintain the asphalt binder in storage within a range of </w:t>
      </w:r>
      <w:r>
        <w:rPr/>
        <w:t xml:space="preserve">230 to 370</w:t>
      </w:r>
      <w:r>
        <w:rPr/>
        <w:t xml:space="preserve">°</w:t>
      </w:r>
      <w:r>
        <w:rPr/>
        <w:t xml:space="preserve">F</w:t>
      </w:r>
      <w:r>
        <w:rPr/>
        <w:t xml:space="preserve"> in advance of mixing operations. </w:t>
      </w:r>
      <w:r>
        <w:rPr/>
        <w:t xml:space="preserve">Locate a sampling device on the discharge piping exiting the storage tank or at a location as approved by the Engineer.</w:t>
      </w:r>
      <w:r>
        <w:rPr/>
        <w:t xml:space="preserve"> </w:t>
      </w:r>
      <w:r>
        <w:rPr/>
        <w:t xml:space="preserve">Provide a metal can of one quart capacity for binder sampling at the request of the Engineer.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p>
      <w:pPr>
        <w:pStyle w:val="LeadInSentence"/>
        <w:spacing/>
        <w:rPr/>
      </w:pPr>
      <w:r>
        <w:rPr/>
        <w:t xml:space="preserve">SUBARTICLE 320-6.1 is deleted and the following substituted:</w:t>
      </w:r>
    </w:p>
    <w:p>
      <w:pPr>
        <w:pStyle w:val="BodyText"/>
        <w:tabs>
          <w:tab w:val="left" w:pos="990"/>
        </w:tabs>
        <w:spacing/>
        <w:rPr>
          <w:szCs w:val="24"/>
        </w:rPr>
      </w:pPr>
      <w:r>
        <w:rPr>
          <w:b/>
        </w:rPr>
        <w:tab/>
        <w:t xml:space="preserve"/>
      </w:r>
      <w:r>
        <w:rPr>
          <w:b/>
        </w:rPr>
        <w:t xml:space="preserve">3</w:t>
      </w:r>
      <w:r>
        <w:rPr>
          <w:b/>
        </w:rPr>
        <w:t xml:space="preserve">2</w:t>
      </w:r>
      <w:r>
        <w:rPr>
          <w:b/>
        </w:rPr>
        <w:t xml:space="preserve">0-6.1 </w:t>
      </w:r>
      <w:r>
        <w:rPr>
          <w:b/>
        </w:rPr>
        <w:t xml:space="preserve">Mixing</w:t>
      </w:r>
      <w:r>
        <w:rPr>
          <w:b/>
          <w:szCs w:val="22"/>
        </w:rPr>
        <w:t xml:space="preserve">:</w:t>
      </w:r>
      <w:r>
        <w:rPr>
          <w:szCs w:val="22"/>
        </w:rPr>
        <w:t xml:space="preserve"> After the aggregate is dried and properly proportioned, mix the aggregate, along with any other components, with the asphalt binder </w:t>
      </w:r>
      <w:r>
        <w:rPr/>
        <w:t xml:space="preserve">to produce a thoroughly and uniformly coated mixture.</w:t>
      </w:r>
      <w:r>
        <w:rPr>
          <w:szCs w:val="24"/>
        </w:rPr>
        <w:t xml:space="preserve"> </w:t>
      </w:r>
      <w:r>
        <w:rPr>
          <w:szCs w:val="24"/>
        </w:rPr>
        <w:t xml:space="preserve">D</w:t>
      </w:r>
      <w:r>
        <w:rPr>
          <w:szCs w:val="24"/>
        </w:rPr>
        <w:t xml:space="preserve">o not produce the mix by altering the component blend percentage of the RAP or sand by more than </w:t>
      </w:r>
      <w:r>
        <w:rPr>
          <w:szCs w:val="24"/>
        </w:rPr>
        <w:t xml:space="preserve">plus or minus </w:t>
      </w:r>
      <w:r>
        <w:rPr>
          <w:szCs w:val="24"/>
        </w:rPr>
        <w:t xml:space="preserve">5.0% from the job mix formula on the approved mix design.</w:t>
      </w:r>
      <w:r>
        <w:rPr>
          <w:szCs w:val="24"/>
        </w:rPr>
        <w:t xml:space="preserve"> For mix designs using fractionated RAP, the combined blend change for all RAP components must not exceed plus or minus 5.0%. The plus or minus 5.0% maximum component change does not apply to crushed virgin aggregate components during production.</w:t>
      </w:r>
    </w:p>
    <w:p>
      <w:pPr>
        <w:pStyle w:val="BodyText"/>
        <w:tabs>
          <w:tab w:val="left" w:pos="990"/>
        </w:tabs>
        <w:spacing/>
        <w:rPr/>
      </w:pPr>
    </w:p>
    <w:p>
      <w:pPr>
        <w:pStyle w:val="BodyText"/>
        <w:spacing/>
        <w:rPr>
          <w:szCs w:val="22"/>
        </w:rPr>
      </w:pPr>
    </w:p>
    <w:sect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6054"/>
    <w:lvl w:ilvl="0">
      <w:start w:val="1"/>
      <w:numFmt w:val="lowerLetter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">
    <w:nsid w:val="2AEE2287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2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3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4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5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6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7">
    <w:nsid w:val="5C5327F4"/>
    <w:lvl w:ilvl="0">
      <w:start w:val="1"/>
      <w:numFmt w:val="decimal"/>
      <w:suff w:val="tab"/>
      <w:lvlText w:val="%1."/>
      <w:pPr>
        <w:spacing/>
        <w:ind w:left="180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8">
    <w:nsid w:val="5EE41E43"/>
    <w:lvl w:ilvl="0">
      <w:start w:val="1"/>
      <w:numFmt w:val="lowerLetter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9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0">
    <w:nsid w:val="6AA46994"/>
    <w:lvl w:ilvl="0">
      <w:start w:val="1"/>
      <w:numFmt w:val="lowerLetter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1">
    <w:nsid w:val="6B0F5D90"/>
    <w:lvl w:ilvl="0">
      <w:start w:val="1"/>
      <w:numFmt w:val="decimal"/>
      <w:suff w:val="tab"/>
      <w:lvlText w:val="%1."/>
      <w:pPr>
        <w:spacing/>
        <w:ind w:left="180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252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spacing/>
        <w:ind w:left="3240" w:hanging="180"/>
      </w:pPr>
      <w:rPr/>
    </w:lvl>
    <w:lvl w:ilvl="3">
      <w:start w:val="1"/>
      <w:numFmt w:val="decimal"/>
      <w:suff w:val="tab"/>
      <w:lvlText w:val="%4."/>
      <w:pPr>
        <w:spacing/>
        <w:ind w:left="3960" w:hanging="360"/>
      </w:pPr>
      <w:rPr/>
    </w:lvl>
    <w:lvl w:ilvl="4">
      <w:start w:val="1"/>
      <w:numFmt w:val="lowerLetter"/>
      <w:suff w:val="tab"/>
      <w:lvlText w:val="%5."/>
      <w:pPr>
        <w:spacing/>
        <w:ind w:left="468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5400" w:hanging="180"/>
      </w:pPr>
      <w:rPr/>
    </w:lvl>
    <w:lvl w:ilvl="6">
      <w:start w:val="1"/>
      <w:numFmt w:val="decimal"/>
      <w:suff w:val="tab"/>
      <w:lvlText w:val="%7."/>
      <w:pPr>
        <w:spacing/>
        <w:ind w:left="6120" w:hanging="360"/>
      </w:pPr>
      <w:rPr/>
    </w:lvl>
    <w:lvl w:ilvl="7">
      <w:start w:val="1"/>
      <w:numFmt w:val="lowerLetter"/>
      <w:suff w:val="tab"/>
      <w:lvlText w:val="%8."/>
      <w:pPr>
        <w:spacing/>
        <w:ind w:left="684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7560" w:hanging="180"/>
      </w:pPr>
      <w:rPr/>
    </w:lvl>
  </w:abstractNum>
  <w:abstractNum w:abstractNumId="12">
    <w:nsid w:val="747D3364"/>
    <w:lvl w:ilvl="0">
      <w:start w:val="1"/>
      <w:numFmt w:val="lowerLetter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abstractNum w:abstractNumId="13">
    <w:nsid w:val="7A6A0AF1"/>
    <w:lvl w:ilvl="0">
      <w:start w:val="1"/>
      <w:numFmt w:val="decimal"/>
      <w:suff w:val="tab"/>
      <w:lvlText w:val="%1."/>
      <w:pPr>
        <w:spacing/>
        <w:ind w:left="25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32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3960" w:hanging="180"/>
      </w:pPr>
      <w:rPr/>
    </w:lvl>
    <w:lvl w:ilvl="3">
      <w:start w:val="1"/>
      <w:numFmt w:val="decimal"/>
      <w:suff w:val="tab"/>
      <w:lvlText w:val="%4."/>
      <w:pPr>
        <w:spacing/>
        <w:ind w:left="4680" w:hanging="360"/>
      </w:pPr>
      <w:rPr/>
    </w:lvl>
    <w:lvl w:ilvl="4">
      <w:start w:val="1"/>
      <w:numFmt w:val="lowerLetter"/>
      <w:suff w:val="tab"/>
      <w:lvlText w:val="%5."/>
      <w:pPr>
        <w:spacing/>
        <w:ind w:left="54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6120" w:hanging="180"/>
      </w:pPr>
      <w:rPr/>
    </w:lvl>
    <w:lvl w:ilvl="6">
      <w:start w:val="1"/>
      <w:numFmt w:val="decimal"/>
      <w:suff w:val="tab"/>
      <w:lvlText w:val="%7."/>
      <w:pPr>
        <w:spacing/>
        <w:ind w:left="6840" w:hanging="360"/>
      </w:pPr>
      <w:rPr/>
    </w:lvl>
    <w:lvl w:ilvl="7">
      <w:start w:val="1"/>
      <w:numFmt w:val="lowerLetter"/>
      <w:suff w:val="tab"/>
      <w:lvlText w:val="%8."/>
      <w:pPr>
        <w:spacing/>
        <w:ind w:left="75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82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view w:val="web"/>
  <w:zoom w:val="none" w:percent="100"/>
  <w:embedSystemFonts xmlns:w="http://schemas.openxmlformats.org/wordprocessingml/2006/main"/>
  <w:bordersDoNotSurroundHeader/>
  <w:bordersDoNotSurroundFooter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ShadeFormData/>
  <w:characterSpacingControl xmlns:w="http://schemas.openxmlformats.org/wordprocessingml/2006/main"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4"/>
    </w:numPr>
    <w:pPr>
      <w:keepNext/>
      <w:numPr>
        <w:ilvl w:val="2"/>
        <w:numId w:val="4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link w:val="LeadInSentenceChar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sz w:val="24"/>
    </w:rPr>
  </w:style>
  <w:style w:type="paragraph" w:styleId="Style1" w:customStyle="1">
    <w:name w:val="Style1"/>
    <w:basedOn w:val="BodyText"/>
    <w:pPr>
      <w:spacing/>
    </w:pPr>
    <w:rPr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character" w:styleId="PageNumber">
    <w:name w:val="Page Number"/>
    <w:basedOn w:val="DefaultParagraphFont"/>
    <w:rPr/>
  </w:style>
  <w:style w:type="paragraph" w:styleId="Section80" w:customStyle="1">
    <w:name w:val="Section8"/>
    <w:basedOn w:val="Normal"/>
    <w:numPr>
      <w:ilvl w:val="0"/>
      <w:numId w:val="6"/>
    </w:numPr>
    <w:pPr>
      <w:numPr>
        <w:ilvl w:val="0"/>
        <w:numId w:val="6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7"/>
    </w:numPr>
    <w:pPr>
      <w:numPr>
        <w:ilvl w:val="0"/>
        <w:numId w:val="7"/>
      </w:numPr>
      <w:tabs>
        <w:tab w:val="left" w:pos="720"/>
        <w:tab w:val="left" w:pos="2160"/>
      </w:tabs>
      <w:spacing/>
      <w:outlineLvl w:val="8"/>
    </w:pPr>
    <w:rPr/>
  </w:style>
  <w:style w:type="paragraph" w:styleId="Section8" w:customStyle="1">
    <w:name w:val="Section 8"/>
    <w:basedOn w:val="Heading8"/>
    <w:next w:val="Dates"/>
    <w:numPr>
      <w:ilvl w:val="0"/>
      <w:numId w:val="5"/>
    </w:numPr>
    <w:pPr>
      <w:keepLines/>
      <w:numPr>
        <w:ilvl w:val="0"/>
        <w:numId w:val="5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10"/>
    </w:numPr>
    <w:pPr>
      <w:widowControl w:val="false"/>
      <w:numPr>
        <w:ilvl w:val="0"/>
        <w:numId w:val="10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character" w:styleId="CommentReference" w:customStyle="1">
    <w:name w:val="annotation reference"/>
    <w:basedOn w:val="DefaultParagraphFont"/>
    <w:rPr>
      <w:sz w:val="16"/>
      <w:szCs w:val="16"/>
    </w:rPr>
  </w:style>
  <w:style w:type="paragraph" w:styleId="CommentText" w:customStyle="1">
    <w:name w:val="annotation text"/>
    <w:basedOn w:val="Normal"/>
    <w:link w:val="CommentTextChar"/>
    <w:pPr>
      <w:spacing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annotationtext"/>
    <w:rPr/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CommentSubject" w:customStyle="1">
    <w:name w:val="annotation subject"/>
    <w:basedOn w:val="CommentText"/>
    <w:next w:val="annotationtext"/>
    <w:link w:val="CommentSubjectChar"/>
    <w:pPr>
      <w:spacing/>
    </w:pPr>
    <w:rPr>
      <w:b/>
      <w:bCs/>
    </w:rPr>
  </w:style>
  <w:style w:type="character" w:styleId="CommentSubjectChar" w:customStyle="1">
    <w:name w:val="Comment Subject Char"/>
    <w:basedOn w:val="DefaultParagraphFont"/>
    <w:link w:val="annotationsubject"/>
    <w:rPr>
      <w:b/>
      <w:bCs/>
    </w:rPr>
  </w:style>
  <w:style w:type="paragraph" w:styleId="Revision" w:customStyle="1">
    <w:name w:val="Revision"/>
    <w:pPr>
      <w:spacing/>
    </w:pPr>
    <w:rPr>
      <w:sz w:val="24"/>
      <w:szCs w:val="24"/>
    </w:r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eadInSentenceChar" w:customStyle="1">
    <w:name w:val="Lead In Sentence Char"/>
    <w:basedOn w:val="DefaultParagraphFont"/>
    <w:link w:val="LeadInSentence"/>
    <w:rPr>
      <w:sz w:val="24"/>
    </w:rPr>
  </w:style>
  <w:style w:type="character" w:styleId="ArticleChar" w:customStyle="1">
    <w:name w:val="Article Char"/>
    <w:basedOn w:val="DefaultParagraphFont"/>
    <w:link w:val="Article"/>
    <w:rPr>
      <w:b/>
      <w:sz w:val="24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Subdivision" w:customStyle="1">
    <w:name w:val="Subdivision"/>
    <w:basedOn w:val="Normal"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paragraph" w:styleId="StyleBodyTextLeft1" w:customStyle="1">
    <w:name w:val="Style Body Text + Left: 1&quot;"/>
    <w:basedOn w:val="BodyText"/>
    <w:pPr>
      <w:widowControl w:val="false"/>
      <w:spacing/>
      <w:ind w:left="1440"/>
    </w:pPr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Documents%20and%20Settings/sp965ch/Application%20Data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247</Words>
  <Characters>1411</Characters>
  <Application>Microsoft Office Word</Application>
  <DocSecurity>0</DocSecurity>
  <Lines>11</Lines>
  <Paragraphs>3</Paragraphs>
  <Company>FDOT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</dc:title>
  <dc:subject>Hot Mix Asphalt – Plant, Methods, and Equipment</dc:subject>
  <dc:creator>Debbie Toole</dc:creator>
  <cp:keywords/>
  <dc:description/>
  <cp:lastModifiedBy>Abrahams, Hill</cp:lastModifiedBy>
  <cp:lastPrinted>2011-02-09T14:14:00Z</cp:lastPrinted>
  <cp:revision>2</cp:revision>
  <dcterms:created xsi:type="dcterms:W3CDTF">2019-04-09T22:07:00Z</dcterms:created>
  <dcterms:modified xsi:type="dcterms:W3CDTF">2019-04-09T22:07:00Z</dcterms:modified>
</cp:coreProperties>
</file>