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334</w:t>
      </w:r>
      <w:r>
        <w:rPr/>
        <w:tab/>
        <w:t xml:space="preserve"/>
      </w:r>
      <w:r>
        <w:rPr/>
        <w:t xml:space="preserve">SUPERPAVE ASPHALT CONCRETE.</w:t>
      </w:r>
    </w:p>
    <w:p>
      <w:pPr>
        <w:pStyle w:val="Dates"/>
        <w:spacing/>
        <w:rPr/>
      </w:pPr>
      <w:r>
        <w:rPr/>
        <w:tab/>
        <w:t xml:space="preserve"/>
      </w:r>
      <w:r>
        <w:rPr/>
        <w:t xml:space="preserve">(REV 2-12-16)</w:t>
      </w:r>
      <w:r>
        <w:rPr/>
        <w:t xml:space="preserve"> (FA 3-30-16) (7-16)</w:t>
      </w:r>
    </w:p>
    <w:p>
      <w:pPr>
        <w:pStyle w:val="LeadInSentence"/>
        <w:spacing/>
        <w:rPr/>
      </w:pPr>
      <w:r>
        <w:rPr/>
        <w:t xml:space="preserve">SUBARTICLE 334-1.2 is deleted and the following substituted:</w:t>
      </w:r>
    </w:p>
    <w:p>
      <w:pPr>
        <w:pStyle w:val="BodyText"/>
        <w:spacing/>
        <w:rPr>
          <w:szCs w:val="24"/>
        </w:rPr>
      </w:pPr>
      <w:r>
        <w:rPr>
          <w:szCs w:val="24"/>
        </w:rPr>
        <w:tab/>
        <w:t xml:space="preserve"/>
      </w:r>
      <w:r>
        <w:rPr>
          <w:b/>
          <w:bCs/>
          <w:szCs w:val="24"/>
        </w:rPr>
        <w:t xml:space="preserve">334-1.2 Traffic Levels:</w:t>
      </w:r>
      <w:r>
        <w:rPr>
          <w:szCs w:val="24"/>
        </w:rPr>
        <w:t xml:space="preserve"> The requirements for Type SP Asphalt Concrete mixtures are based on the design traffic level of the project, expressed in 18,000 pound Equivalent Single Axle Loads (ESAL’s). The five traffic levels are as shown in Table</w:t>
      </w:r>
      <w:r>
        <w:rPr>
          <w:szCs w:val="24"/>
        </w:rPr>
        <w:t xml:space="preserve"> </w:t>
      </w:r>
      <w:r>
        <w:rPr>
          <w:szCs w:val="24"/>
        </w:rPr>
        <w:t xml:space="preserve">334</w:t>
      </w:r>
      <w:r>
        <w:rPr>
          <w:szCs w:val="24"/>
        </w:rPr>
        <w:t xml:space="preserve">-</w:t>
      </w:r>
      <w:r>
        <w:rPr>
          <w:szCs w:val="24"/>
        </w:rPr>
        <w:t xml:space="preserve">1.</w:t>
      </w:r>
    </w:p>
    <w:p>
      <w:pPr>
        <w:pStyle w:val="BodyText"/>
        <w:spacing/>
        <w:rPr>
          <w:szCs w:val="24"/>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3509"/>
        <w:gridCol w:w="5851"/>
      </w:tblGrid>
      <w:tr>
        <w:trPr>
          <w:cantSplit/>
          <w:tblHeader/>
          <w:jc w:val="center"/>
        </w:trPr>
        <w:tc>
          <w:tcPr>
            <w:tcW w:type="pct" w:w="5000"/>
            <w:gridSpan w:val="2"/>
            <w:tcBorders/>
          </w:tcPr>
          <w:p>
            <w:pPr>
              <w:pStyle w:val="BodyText"/>
              <w:spacing/>
              <w:jc w:val="center"/>
              <w:rPr>
                <w:rFonts w:ascii="Calibri" w:hAnsi="Calibri" w:eastAsia="Calibri" w:cs="Calibri"/>
                <w:szCs w:val="24"/>
              </w:rPr>
            </w:pPr>
            <w:r>
              <w:rPr>
                <w:szCs w:val="24"/>
              </w:rPr>
              <w:t xml:space="preserve">Table</w:t>
            </w:r>
            <w:r>
              <w:rPr>
                <w:szCs w:val="24"/>
              </w:rPr>
              <w:t xml:space="preserve"> </w:t>
            </w:r>
            <w:r>
              <w:rPr>
                <w:szCs w:val="24"/>
              </w:rPr>
              <w:t xml:space="preserve">334-1</w:t>
            </w:r>
          </w:p>
          <w:p>
            <w:pPr>
              <w:pStyle w:val="BodyText"/>
              <w:spacing/>
              <w:jc w:val="center"/>
              <w:rPr>
                <w:rFonts w:ascii="Calibri" w:hAnsi="Calibri" w:eastAsia="Calibri" w:cs="Calibri"/>
                <w:szCs w:val="24"/>
              </w:rPr>
            </w:pPr>
            <w:r>
              <w:rPr>
                <w:szCs w:val="24"/>
              </w:rPr>
              <w:t xml:space="preserve">Superpave Traffic Levels</w:t>
            </w:r>
          </w:p>
        </w:tc>
      </w:tr>
      <w:tr>
        <w:trPr>
          <w:cantSplit/>
          <w:tblHeader/>
          <w:jc w:val="center"/>
        </w:trPr>
        <w:tc>
          <w:tcPr>
            <w:tcW w:type="pct" w:w="1874"/>
            <w:tcBorders/>
          </w:tcPr>
          <w:p>
            <w:pPr>
              <w:pStyle w:val="BodyText"/>
              <w:spacing/>
              <w:jc w:val="center"/>
              <w:rPr>
                <w:rFonts w:ascii="Calibri" w:hAnsi="Calibri" w:eastAsia="Calibri" w:cs="Calibri"/>
                <w:szCs w:val="24"/>
              </w:rPr>
            </w:pPr>
            <w:r>
              <w:rPr>
                <w:szCs w:val="24"/>
              </w:rPr>
              <w:t xml:space="preserve">Traffic Level</w:t>
            </w:r>
          </w:p>
        </w:tc>
        <w:tc>
          <w:tcPr>
            <w:tcW w:type="pct" w:w="3126"/>
            <w:tcBorders/>
          </w:tcPr>
          <w:p>
            <w:pPr>
              <w:pStyle w:val="BodyText"/>
              <w:spacing/>
              <w:jc w:val="center"/>
              <w:rPr>
                <w:rFonts w:ascii="Calibri" w:hAnsi="Calibri" w:eastAsia="Calibri" w:cs="Calibri"/>
                <w:szCs w:val="24"/>
              </w:rPr>
            </w:pPr>
            <w:r>
              <w:rPr>
                <w:szCs w:val="24"/>
              </w:rPr>
              <w:t xml:space="preserve">Traffic Level (1x10</w:t>
            </w:r>
            <w:r>
              <w:rPr>
                <w:szCs w:val="24"/>
                <w:vertAlign w:val="superscript"/>
              </w:rPr>
              <w:t xml:space="preserve">6</w:t>
            </w:r>
            <w:r>
              <w:rPr>
                <w:szCs w:val="24"/>
              </w:rPr>
              <w:t xml:space="preserve"> ESAL’s)</w:t>
            </w:r>
          </w:p>
        </w:tc>
      </w:tr>
      <w:tr>
        <w:trPr>
          <w:cantSplit/>
          <w:jc w:val="center"/>
        </w:trPr>
        <w:tc>
          <w:tcPr>
            <w:tcW w:type="pct" w:w="1874"/>
            <w:tcBorders/>
          </w:tcPr>
          <w:p>
            <w:pPr>
              <w:pStyle w:val="BodyText"/>
              <w:spacing/>
              <w:jc w:val="center"/>
              <w:rPr>
                <w:rFonts w:ascii="Calibri" w:hAnsi="Calibri" w:eastAsia="Calibri" w:cs="Calibri"/>
                <w:szCs w:val="24"/>
              </w:rPr>
            </w:pPr>
            <w:r>
              <w:rPr>
                <w:szCs w:val="24"/>
              </w:rPr>
              <w:t xml:space="preserve">A</w:t>
            </w:r>
          </w:p>
        </w:tc>
        <w:tc>
          <w:tcPr>
            <w:tcW w:type="pct" w:w="3126"/>
            <w:tcBorders/>
          </w:tcPr>
          <w:p>
            <w:pPr>
              <w:pStyle w:val="BodyText"/>
              <w:spacing/>
              <w:jc w:val="center"/>
              <w:rPr>
                <w:rFonts w:ascii="Calibri" w:hAnsi="Calibri" w:eastAsia="Calibri" w:cs="Calibri"/>
                <w:szCs w:val="24"/>
              </w:rPr>
            </w:pPr>
            <w:r>
              <w:rPr>
                <w:szCs w:val="24"/>
              </w:rPr>
              <w:t xml:space="preserve">&lt;0.3</w:t>
            </w:r>
          </w:p>
        </w:tc>
      </w:tr>
      <w:tr>
        <w:trPr>
          <w:cantSplit/>
          <w:jc w:val="center"/>
        </w:trPr>
        <w:tc>
          <w:tcPr>
            <w:tcW w:type="pct" w:w="1874"/>
            <w:tcBorders/>
          </w:tcPr>
          <w:p>
            <w:pPr>
              <w:pStyle w:val="BodyText"/>
              <w:spacing/>
              <w:jc w:val="center"/>
              <w:rPr>
                <w:rFonts w:ascii="Calibri" w:hAnsi="Calibri" w:eastAsia="Calibri" w:cs="Calibri"/>
                <w:szCs w:val="24"/>
              </w:rPr>
            </w:pPr>
            <w:r>
              <w:rPr>
                <w:szCs w:val="24"/>
              </w:rPr>
              <w:t xml:space="preserve">B</w:t>
            </w:r>
          </w:p>
        </w:tc>
        <w:tc>
          <w:tcPr>
            <w:tcW w:type="pct" w:w="3126"/>
            <w:tcBorders/>
          </w:tcPr>
          <w:p>
            <w:pPr>
              <w:pStyle w:val="BodyText"/>
              <w:spacing/>
              <w:jc w:val="center"/>
              <w:rPr>
                <w:rFonts w:ascii="Calibri" w:hAnsi="Calibri" w:eastAsia="Calibri" w:cs="Calibri"/>
                <w:szCs w:val="24"/>
              </w:rPr>
            </w:pPr>
            <w:r>
              <w:rPr>
                <w:szCs w:val="24"/>
              </w:rPr>
              <w:t xml:space="preserve">0.3 to &lt;3</w:t>
            </w:r>
          </w:p>
        </w:tc>
      </w:tr>
      <w:tr>
        <w:trPr>
          <w:cantSplit/>
          <w:jc w:val="center"/>
        </w:trPr>
        <w:tc>
          <w:tcPr>
            <w:tcW w:type="pct" w:w="1874"/>
            <w:tcBorders/>
          </w:tcPr>
          <w:p>
            <w:pPr>
              <w:pStyle w:val="BodyText"/>
              <w:spacing/>
              <w:jc w:val="center"/>
              <w:rPr>
                <w:rFonts w:ascii="Calibri" w:hAnsi="Calibri" w:eastAsia="Calibri" w:cs="Calibri"/>
                <w:szCs w:val="24"/>
              </w:rPr>
            </w:pPr>
            <w:r>
              <w:rPr>
                <w:szCs w:val="24"/>
              </w:rPr>
              <w:t xml:space="preserve">C</w:t>
            </w:r>
          </w:p>
        </w:tc>
        <w:tc>
          <w:tcPr>
            <w:tcW w:type="pct" w:w="3126"/>
            <w:tcBorders/>
          </w:tcPr>
          <w:p>
            <w:pPr>
              <w:pStyle w:val="BodyText"/>
              <w:spacing/>
              <w:jc w:val="center"/>
              <w:rPr>
                <w:rFonts w:ascii="Calibri" w:hAnsi="Calibri" w:eastAsia="Calibri" w:cs="Calibri"/>
                <w:szCs w:val="24"/>
              </w:rPr>
            </w:pPr>
            <w:r>
              <w:rPr>
                <w:szCs w:val="24"/>
              </w:rPr>
              <w:t xml:space="preserve">3 to &lt;10</w:t>
            </w:r>
          </w:p>
        </w:tc>
      </w:tr>
      <w:tr>
        <w:trPr>
          <w:cantSplit/>
          <w:jc w:val="center"/>
        </w:trPr>
        <w:tc>
          <w:tcPr>
            <w:tcW w:type="pct" w:w="1874"/>
            <w:tcBorders/>
          </w:tcPr>
          <w:p>
            <w:pPr>
              <w:pStyle w:val="BodyText"/>
              <w:spacing/>
              <w:jc w:val="center"/>
              <w:rPr>
                <w:rFonts w:ascii="Calibri" w:hAnsi="Calibri" w:eastAsia="Calibri" w:cs="Calibri"/>
                <w:szCs w:val="24"/>
              </w:rPr>
            </w:pPr>
            <w:r>
              <w:rPr>
                <w:szCs w:val="24"/>
              </w:rPr>
              <w:t xml:space="preserve">D</w:t>
            </w:r>
          </w:p>
        </w:tc>
        <w:tc>
          <w:tcPr>
            <w:tcW w:type="pct" w:w="3126"/>
            <w:tcBorders/>
          </w:tcPr>
          <w:p>
            <w:pPr>
              <w:pStyle w:val="BodyText"/>
              <w:spacing/>
              <w:jc w:val="center"/>
              <w:rPr>
                <w:rFonts w:ascii="Calibri" w:hAnsi="Calibri" w:eastAsia="Calibri" w:cs="Calibri"/>
                <w:szCs w:val="24"/>
              </w:rPr>
            </w:pPr>
            <w:r>
              <w:rPr>
                <w:szCs w:val="24"/>
              </w:rPr>
              <w:t xml:space="preserve">10 to &lt;30</w:t>
            </w:r>
          </w:p>
        </w:tc>
      </w:tr>
      <w:tr>
        <w:trPr>
          <w:cantSplit/>
          <w:jc w:val="center"/>
        </w:trPr>
        <w:tc>
          <w:tcPr>
            <w:tcW w:type="pct" w:w="1874"/>
            <w:tcBorders/>
          </w:tcPr>
          <w:p>
            <w:pPr>
              <w:pStyle w:val="BodyText"/>
              <w:spacing/>
              <w:jc w:val="center"/>
              <w:rPr>
                <w:rFonts w:ascii="Calibri" w:hAnsi="Calibri" w:eastAsia="Calibri" w:cs="Calibri"/>
                <w:szCs w:val="24"/>
              </w:rPr>
            </w:pPr>
            <w:r>
              <w:rPr>
                <w:szCs w:val="24"/>
              </w:rPr>
              <w:t xml:space="preserve">E</w:t>
            </w:r>
          </w:p>
        </w:tc>
        <w:tc>
          <w:tcPr>
            <w:tcW w:type="pct" w:w="3126"/>
            <w:tcBorders/>
          </w:tcPr>
          <w:p>
            <w:pPr>
              <w:pStyle w:val="BodyText"/>
              <w:spacing/>
              <w:jc w:val="center"/>
              <w:rPr>
                <w:rFonts w:ascii="Calibri" w:hAnsi="Calibri" w:eastAsia="Calibri" w:cs="Calibri"/>
                <w:szCs w:val="24"/>
              </w:rPr>
            </w:pPr>
            <w:r>
              <w:rPr>
                <w:szCs w:val="24"/>
              </w:rPr>
              <w:t xml:space="preserve">≥30</w:t>
            </w:r>
          </w:p>
        </w:tc>
      </w:tr>
    </w:tbl>
    <w:p>
      <w:pPr>
        <w:pStyle w:val="BodyText"/>
        <w:spacing/>
        <w:rPr>
          <w:szCs w:val="24"/>
        </w:rPr>
      </w:pPr>
    </w:p>
    <w:p>
      <w:pPr>
        <w:pStyle w:val="BodyText"/>
        <w:spacing/>
        <w:rPr>
          <w:szCs w:val="24"/>
        </w:rPr>
      </w:pPr>
      <w:r>
        <w:rPr>
          <w:szCs w:val="24"/>
        </w:rPr>
        <w:tab/>
        <w:t xml:space="preserve"/>
      </w:r>
      <w:r>
        <w:rPr>
          <w:szCs w:val="24"/>
        </w:rPr>
        <w:tab/>
        <w:t xml:space="preserve"/>
      </w:r>
      <w:r>
        <w:rPr>
          <w:szCs w:val="24"/>
        </w:rPr>
        <w:t xml:space="preserve">The traffic levels for the project are as specified in the Contract</w:t>
      </w:r>
      <w:r>
        <w:rPr>
          <w:szCs w:val="24"/>
        </w:rPr>
        <w:t xml:space="preserve"> Documents</w:t>
      </w:r>
      <w:r>
        <w:rPr>
          <w:szCs w:val="24"/>
        </w:rPr>
        <w:t xml:space="preserve">. A Type SP mix one traffic level higher than the traffic level specified in the Contract</w:t>
      </w:r>
      <w:r>
        <w:rPr>
          <w:szCs w:val="24"/>
        </w:rPr>
        <w:t xml:space="preserve"> Documents</w:t>
      </w:r>
      <w:r>
        <w:rPr>
          <w:szCs w:val="24"/>
        </w:rPr>
        <w:t xml:space="preserve"> may be substituted, at no cost to the Department (i.e.</w:t>
      </w:r>
      <w:r>
        <w:rPr>
          <w:szCs w:val="24"/>
        </w:rPr>
        <w:t xml:space="preserve">,</w:t>
      </w:r>
      <w:r>
        <w:rPr>
          <w:szCs w:val="24"/>
        </w:rPr>
        <w:t xml:space="preserve"> Traffic Level B may be substituted for Traffic Level</w:t>
      </w:r>
      <w:r>
        <w:rPr>
          <w:szCs w:val="24"/>
        </w:rPr>
        <w:t xml:space="preserve"> </w:t>
      </w:r>
      <w:r>
        <w:rPr>
          <w:szCs w:val="24"/>
        </w:rPr>
        <w:t xml:space="preserve">A, etc.).</w:t>
      </w:r>
      <w:r>
        <w:rPr>
          <w:szCs w:val="24"/>
        </w:rPr>
        <w:t xml:space="preserve"> </w:t>
      </w:r>
      <w:r>
        <w:rPr>
          <w:szCs w:val="24"/>
        </w:rPr>
        <w:t xml:space="preserve">As an exception, the same traffic level and binder type that is used for the mainline traffic lanes may be placed in the shoulder at no additional cost to the Department.</w:t>
      </w:r>
    </w:p>
    <w:p>
      <w:pPr>
        <w:pStyle w:val="BodyText"/>
        <w:spacing/>
        <w:rPr>
          <w:szCs w:val="24"/>
        </w:rPr>
      </w:pPr>
    </w:p>
    <w:p>
      <w:pPr>
        <w:pStyle w:val="BodyText"/>
        <w:spacing/>
        <w:rPr>
          <w:szCs w:val="24"/>
        </w:rPr>
      </w:pPr>
    </w:p>
    <w:p>
      <w:pPr>
        <w:pStyle w:val="LeadInSentence"/>
        <w:spacing/>
        <w:rPr/>
      </w:pPr>
      <w:r>
        <w:rPr/>
        <w:t xml:space="preserve">SUBARTICLE 334-5.1.2 is deleted and the following substituted:</w:t>
      </w:r>
    </w:p>
    <w:p>
      <w:pPr>
        <w:pStyle w:val="BodyText"/>
        <w:spacing/>
        <w:rPr>
          <w:szCs w:val="24"/>
        </w:rPr>
      </w:pPr>
      <w:r>
        <w:rPr>
          <w:szCs w:val="24"/>
        </w:rPr>
        <w:tab/>
        <w:t xml:space="preserve"/>
      </w:r>
      <w:r>
        <w:rPr>
          <w:szCs w:val="24"/>
        </w:rPr>
        <w:tab/>
        <w:t xml:space="preserve"/>
      </w:r>
      <w:r>
        <w:rPr>
          <w:b/>
          <w:szCs w:val="24"/>
        </w:rPr>
        <w:t xml:space="preserve">334-5.1.2 Acceptance Testing Exceptions: </w:t>
      </w:r>
      <w:r>
        <w:rPr>
          <w:szCs w:val="24"/>
        </w:rPr>
        <w:t xml:space="preserve">When the total combined quantity of hot mix asphalt for the project, as indicated in the </w:t>
      </w:r>
      <w:r>
        <w:rPr>
          <w:szCs w:val="24"/>
        </w:rPr>
        <w:t xml:space="preserve">P</w:t>
      </w:r>
      <w:r>
        <w:rPr>
          <w:szCs w:val="24"/>
        </w:rPr>
        <w:t xml:space="preserve">lans for Type SP and Type FC mixtures only, is less than 2000 tons, the Engineer will accept the mix on the basis of visual inspection. The Engineer may require the Contractor to run process control tests for informational purposes, as defined in 334</w:t>
      </w:r>
      <w:r>
        <w:rPr>
          <w:szCs w:val="24"/>
        </w:rPr>
        <w:noBreakHyphen/>
        <w:t xml:space="preserve"/>
      </w:r>
      <w:r>
        <w:rPr>
          <w:szCs w:val="24"/>
        </w:rPr>
        <w:t xml:space="preserve">4, or may run independent verification tests to determine the acceptability of the material.</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Density testing for acceptance will not be performed on widening strips or shoulders with a width of 5 feet or less, open-graded friction courses, variable thickness overbuild courses, leveling courses, any asphalt layer placed on subgrade (regardless of type), miscellaneous asphalt pavement, shared use paths, crossovers, </w:t>
      </w:r>
      <w:r>
        <w:rPr>
          <w:szCs w:val="24"/>
        </w:rPr>
        <w:t xml:space="preserve">gore areas,</w:t>
      </w:r>
      <w:r>
        <w:rPr>
          <w:szCs w:val="24"/>
        </w:rPr>
        <w:t xml:space="preserve"> </w:t>
      </w:r>
      <w:r>
        <w:rPr>
          <w:szCs w:val="24"/>
        </w:rPr>
        <w:t xml:space="preserve">or any course with a specified thickness less than 1 inch or a specified spread rate that converts to less than 1 inch as described in 334</w:t>
      </w:r>
      <w:r>
        <w:rPr>
          <w:szCs w:val="24"/>
        </w:rPr>
        <w:t xml:space="preserve">-</w:t>
      </w:r>
      <w:r>
        <w:rPr>
          <w:szCs w:val="24"/>
        </w:rPr>
        <w:t xml:space="preserve">1.4. Density testing for acceptance will not be performed on asphalt courses placed on bridge decks or approach slabs; compact these courses in static mode only per the requirements of 330-7.7. In addition, density testing for acceptance will not be performed on the following areas when they are less than 1,000 feet (continuous) in length: turning lanes, acceleration lanes, deceleration lanes, shoulders, parallel parking lanes or ramps. </w:t>
      </w:r>
      <w:r>
        <w:rPr>
          <w:szCs w:val="24"/>
        </w:rPr>
        <w:t xml:space="preserve">Do not perform d</w:t>
      </w:r>
      <w:r>
        <w:rPr>
          <w:szCs w:val="24"/>
        </w:rPr>
        <w:t xml:space="preserve">ensity testing for acceptance </w:t>
      </w:r>
      <w:r>
        <w:rPr>
          <w:szCs w:val="24"/>
        </w:rPr>
        <w:t xml:space="preserve">in situations where the</w:t>
      </w:r>
      <w:r>
        <w:rPr>
          <w:szCs w:val="24"/>
        </w:rPr>
        <w:t xml:space="preserve"> areas </w:t>
      </w:r>
      <w:r>
        <w:rPr>
          <w:szCs w:val="24"/>
        </w:rPr>
        <w:t xml:space="preserve">requiring density testing is </w:t>
      </w:r>
      <w:r>
        <w:rPr>
          <w:szCs w:val="24"/>
        </w:rPr>
        <w:t xml:space="preserve">less than 50</w:t>
      </w:r>
      <w:r>
        <w:rPr>
          <w:szCs w:val="24"/>
        </w:rPr>
        <w:t xml:space="preserve"> </w:t>
      </w:r>
      <w:r>
        <w:rPr>
          <w:szCs w:val="24"/>
        </w:rPr>
        <w:t xml:space="preserve">tons within a sublot.</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Density testing for acceptance will not be performed in intersections. The limits of the intersection will be from stop bar to stop bar for both the mainline and side streets. A random core location that occurs within the intersection shall be moved forward or backward from the intersection at the direction of the Engineer.</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Where density testing for acceptance is not required, compact these courses (with the exception of open-graded friction courses) in accordance with the rolling procedure (equipment and pattern) as approved by the Engineer or with Standard Rolling Procedure as specified in 330-7.2. In the event that the rolling procedure deviates from the procedure approved by the Engineer, or the Standard Rolling Procedure, placement of the mix shall be stopped.</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The density pay factor (as defined in 334</w:t>
      </w:r>
      <w:r>
        <w:rPr>
          <w:szCs w:val="24"/>
        </w:rPr>
        <w:t xml:space="preserve">-</w:t>
      </w:r>
      <w:r>
        <w:rPr>
          <w:szCs w:val="24"/>
        </w:rPr>
        <w:t xml:space="preserve">8.2) for areas not requiring density testing for acceptance will be paid at the same density pay factor as for the areas requiring density testing within the same LOT. If the entire LOT does not require density testing for acceptance, the LOT will be paid at a density pay factor of 1.00.</w:t>
      </w:r>
    </w:p>
    <w:p>
      <w:pPr>
        <w:pStyle w:val="BodyText"/>
        <w:spacing/>
        <w:rPr>
          <w:szCs w:val="24"/>
        </w:rPr>
      </w:pPr>
    </w:p>
    <w:p>
      <w:pPr>
        <w:pStyle w:val="BodyText"/>
        <w:spacing/>
        <w:rPr>
          <w:szCs w:val="24"/>
        </w:rPr>
      </w:pPr>
    </w:p>
    <w:p>
      <w:pPr>
        <w:pStyle w:val="LeadInSentence"/>
        <w:spacing/>
        <w:rPr/>
      </w:pPr>
      <w:r>
        <w:rPr/>
        <w:t xml:space="preserve">SUBARTICLE 334-5.4.1 is deleted and the following substituted:</w:t>
      </w:r>
    </w:p>
    <w:p>
      <w:pPr>
        <w:pStyle w:val="BodyText"/>
        <w:spacing/>
        <w:rPr>
          <w:szCs w:val="24"/>
        </w:rPr>
      </w:pPr>
      <w:r>
        <w:rPr>
          <w:bCs/>
          <w:szCs w:val="24"/>
        </w:rPr>
        <w:tab/>
        <w:t xml:space="preserve"/>
      </w:r>
      <w:r>
        <w:rPr>
          <w:bCs/>
          <w:szCs w:val="24"/>
        </w:rPr>
        <w:tab/>
        <w:t xml:space="preserve"/>
      </w:r>
      <w:r>
        <w:rPr>
          <w:b/>
          <w:bCs/>
          <w:szCs w:val="24"/>
        </w:rPr>
        <w:t xml:space="preserve">334-5.4.1 Lost or Missing Verification/Resolution Samples:</w:t>
      </w:r>
      <w:r>
        <w:rPr>
          <w:szCs w:val="24"/>
        </w:rPr>
        <w:t xml:space="preserve"> </w:t>
      </w:r>
      <w:r>
        <w:rPr>
          <w:szCs w:val="24"/>
        </w:rPr>
        <w:t xml:space="preserve">In the event that any of the Verification and/or Resolution </w:t>
      </w:r>
      <w:r>
        <w:rPr>
          <w:szCs w:val="24"/>
        </w:rPr>
        <w:t xml:space="preserve">asphalt mixture </w:t>
      </w:r>
      <w:r>
        <w:rPr>
          <w:szCs w:val="24"/>
        </w:rPr>
        <w:t xml:space="preserve">samples that are in the custody of the Contractor are lost, damaged, destroyed, or are otherwise unavailable for testing, the minimum possible pay factor for each quality characteristic as described in 334</w:t>
      </w:r>
      <w:r>
        <w:rPr>
          <w:szCs w:val="24"/>
        </w:rPr>
        <w:t xml:space="preserve">-</w:t>
      </w:r>
      <w:r>
        <w:rPr>
          <w:szCs w:val="24"/>
        </w:rPr>
        <w:t xml:space="preserve">8.2 will be applied to the entire LOT in question, unless called for otherwise by the Engineer. Specifically, if the LOT in question has more than two sublots, the pay factor for each quality characteristic will be 0.55. If the LOT has two or less sublots, the pay factor for each quality characteristic will be 0.80. </w:t>
      </w:r>
      <w:r>
        <w:rPr>
          <w:szCs w:val="24"/>
        </w:rPr>
        <w:t xml:space="preserve">If only the roadway cores are </w:t>
      </w:r>
      <w:r>
        <w:rPr>
          <w:szCs w:val="24"/>
        </w:rPr>
        <w:t xml:space="preserve">lost, damaged, destroyed, or are otherwise unavailable for testing</w:t>
      </w:r>
      <w:r>
        <w:rPr>
          <w:szCs w:val="24"/>
        </w:rPr>
        <w:t xml:space="preserve">, then the minimum possible pay factor for density will be applied to the entire LOT in question. </w:t>
      </w:r>
      <w:r>
        <w:rPr>
          <w:szCs w:val="24"/>
        </w:rPr>
        <w:t xml:space="preserve">In either event, the material in question will also be evaluated in accordance with 334</w:t>
      </w:r>
      <w:r>
        <w:rPr>
          <w:szCs w:val="24"/>
        </w:rPr>
        <w:t xml:space="preserve">-</w:t>
      </w:r>
      <w:r>
        <w:rPr>
          <w:szCs w:val="24"/>
        </w:rPr>
        <w:t xml:space="preserve">5.9.5.</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If any of the Verification and/or Resolution samples that are in the custody of the Department are lost, damaged, destroyed or are otherwise unavailable for testing, the corresponding QC test result will be considered verified, and payment will be based upon the Contractor’s data.</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StyleBodyTextLeft1" w:customStyle="1">
    <w:name w:val="Style Body Text + Left: 1&quot;"/>
    <w:basedOn w:val="BodyText"/>
    <w:pPr>
      <w:widowControl w:val="false"/>
      <w:spacing/>
      <w:ind w:left="1440"/>
    </w:pPr>
    <w:rPr/>
  </w:style>
  <w:style w:type="paragraph" w:styleId="BodyTextFirst" w:customStyle="1">
    <w:name w:val="Body Text + First"/>
    <w:basedOn w:val="BodyText"/>
    <w:next w:val="StyleBodyText+Left:1&quot;"/>
    <w:pPr>
      <w:keepNext/>
      <w:keepLines/>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747</Words>
  <Characters>4258</Characters>
  <Application>Microsoft Office Word</Application>
  <DocSecurity>0</DocSecurity>
  <Lines>35</Lines>
  <Paragraphs>9</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es968dt_5-4-12 EDIT</dc:creator>
  <cp:keywords/>
  <dc:description/>
  <cp:lastModifiedBy>Abrahams, Hill</cp:lastModifiedBy>
  <cp:lastPrinted>2012-05-07T20:58:00Z</cp:lastPrinted>
  <cp:revision>2</cp:revision>
  <dcterms:created xsi:type="dcterms:W3CDTF">2019-04-09T22:10:00Z</dcterms:created>
  <dcterms:modified xsi:type="dcterms:W3CDTF">2019-04-09T22:10:00Z</dcterms:modified>
</cp:coreProperties>
</file>