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916</w:t>
      </w:r>
      <w:r>
        <w:rPr/>
        <w:tab/>
        <w:t xml:space="preserve"/>
      </w:r>
      <w:r>
        <w:rPr/>
        <w:t xml:space="preserve">BITUMINOUS MATERIALS.</w:t>
      </w:r>
    </w:p>
    <w:p>
      <w:pPr>
        <w:pStyle w:val="Dates"/>
        <w:spacing/>
        <w:rPr/>
      </w:pPr>
      <w:r>
        <w:rPr/>
        <w:tab/>
        <w:t xml:space="preserve"/>
      </w:r>
      <w:r>
        <w:rPr/>
        <w:t xml:space="preserve">(REV 2-</w:t>
      </w:r>
      <w:r>
        <w:rPr/>
        <w:t xml:space="preserve">16</w:t>
      </w:r>
      <w:r>
        <w:rPr/>
        <w:t xml:space="preserve">-16)</w:t>
      </w:r>
      <w:r>
        <w:rPr/>
        <w:t xml:space="preserve"> (FA 3-30-16) (7-16)</w:t>
      </w:r>
    </w:p>
    <w:p>
      <w:pPr>
        <w:pStyle w:val="LeadInSentence"/>
        <w:spacing/>
        <w:rPr/>
      </w:pPr>
      <w:r>
        <w:rPr/>
        <w:t xml:space="preserve">SECTION 916 is deleted and the following substituted:</w:t>
      </w:r>
    </w:p>
    <w:p>
      <w:pPr>
        <w:pStyle w:val="SectionHeading"/>
        <w:spacing/>
        <w:rPr/>
      </w:pPr>
      <w:r>
        <w:rPr/>
        <w:t xml:space="preserve">SECTION 916</w:t>
      </w:r>
      <w:r>
        <w:rPr/>
        <w:br/>
      </w:r>
      <w:r>
        <w:rPr/>
        <w:t xml:space="preserve">BITUMINOUS MATERIALS</w:t>
      </w:r>
    </w:p>
    <w:p>
      <w:pPr>
        <w:pStyle w:val="Article"/>
        <w:spacing/>
        <w:rPr/>
      </w:pPr>
      <w:r>
        <w:rPr/>
        <w:t xml:space="preserve">916-1 General.</w:t>
      </w:r>
    </w:p>
    <w:p>
      <w:pPr>
        <w:pStyle w:val="BodyText"/>
        <w:spacing/>
        <w:rPr/>
      </w:pPr>
      <w:r>
        <w:rPr/>
        <w:tab/>
        <w:t xml:space="preserve"/>
      </w:r>
      <w:r>
        <w:rPr/>
        <w:t xml:space="preserve">A</w:t>
      </w:r>
      <w:r>
        <w:rPr/>
        <w:t xml:space="preserve">ll</w:t>
      </w:r>
      <w:r>
        <w:rPr/>
        <w:t xml:space="preserve"> product</w:t>
      </w:r>
      <w:r>
        <w:rPr/>
        <w:t xml:space="preserve">s</w:t>
      </w:r>
      <w:r>
        <w:rPr/>
        <w:t xml:space="preserve"> supplied under this </w:t>
      </w:r>
      <w:r>
        <w:rPr/>
        <w:t xml:space="preserve">S</w:t>
      </w:r>
      <w:r>
        <w:rPr/>
        <w:t xml:space="preserve">pecification shall be one of the products included on the </w:t>
      </w:r>
      <w:r>
        <w:rPr/>
        <w:t xml:space="preserve">Approved Product List (</w:t>
      </w:r>
      <w:r>
        <w:rPr/>
        <w:t xml:space="preserve">A</w:t>
      </w:r>
      <w:r>
        <w:rPr/>
        <w:t xml:space="preserve">PL</w:t>
      </w:r>
      <w:r>
        <w:rPr/>
        <w:t xml:space="preserve">)</w:t>
      </w:r>
      <w:r>
        <w:rPr/>
        <w:t xml:space="preserve">. </w:t>
      </w:r>
      <w:r>
        <w:rPr/>
        <w:t xml:space="preserve">Produc</w:t>
      </w:r>
      <w:r>
        <w:rPr/>
        <w:t xml:space="preserve">ers seeking evaluation of </w:t>
      </w:r>
      <w:r>
        <w:rPr/>
        <w:t xml:space="preserve">a</w:t>
      </w:r>
      <w:r>
        <w:rPr/>
        <w:t xml:space="preserve"> product </w:t>
      </w:r>
      <w:r>
        <w:rPr/>
        <w:t xml:space="preserve">for inclusion on the APL </w:t>
      </w:r>
      <w:r>
        <w:rPr/>
        <w:t xml:space="preserve">shall submit an application in accordance with Section 6</w:t>
      </w:r>
      <w:r>
        <w:rPr/>
        <w:t xml:space="preserve">.</w:t>
      </w:r>
    </w:p>
    <w:p>
      <w:pPr>
        <w:pStyle w:val="BodyText"/>
        <w:spacing/>
        <w:rPr>
          <w:bCs/>
        </w:rPr>
      </w:pPr>
      <w:r>
        <w:rPr/>
        <w:tab/>
        <w:t xml:space="preserve"/>
      </w:r>
      <w:r>
        <w:rPr/>
        <w:t xml:space="preserve">For liquid anti-strip agents, in addition to the above, producers shall include</w:t>
      </w:r>
      <w:r>
        <w:rPr/>
        <w:t xml:space="preserve"> a report of test results from an independent laboratory confirming the material meets the requirements of this section. In lieu of submitting test results from an independent laboratory, the Department will evaluate the material. For each liquid anti-strip agent, the </w:t>
      </w:r>
      <w:r>
        <w:rPr/>
        <w:t xml:space="preserve">producer</w:t>
      </w:r>
      <w:r>
        <w:rPr/>
        <w:t xml:space="preserve"> will submit one pint of a representative sample of liquid anti-strip agent to the State Materials Office when submitting the </w:t>
      </w:r>
      <w:r>
        <w:rPr/>
        <w:t xml:space="preserve">A</w:t>
      </w:r>
      <w:r>
        <w:rPr/>
        <w:t xml:space="preserve">PL application to the Department’s Product Evaluation Section.</w:t>
      </w:r>
    </w:p>
    <w:p>
      <w:pPr>
        <w:pStyle w:val="BodyText"/>
        <w:spacing/>
        <w:rPr/>
      </w:pPr>
      <w:r>
        <w:rPr/>
        <w:tab/>
        <w:t xml:space="preserve"/>
      </w:r>
      <w:r>
        <w:rPr/>
        <w:t xml:space="preserve">Any marked variation from the original test values for a material below the established limits or evidence of inadequate quality control or field performance of a material will be considered sufficient evidence that the properties of the material have changed, and the material will be removed from the </w:t>
      </w:r>
      <w:r>
        <w:rPr/>
        <w:t xml:space="preserve">A</w:t>
      </w:r>
      <w:r>
        <w:rPr/>
        <w:t xml:space="preserve">PL.</w:t>
      </w:r>
    </w:p>
    <w:p>
      <w:pPr>
        <w:pStyle w:val="Article"/>
        <w:spacing/>
        <w:rPr/>
      </w:pPr>
      <w:r>
        <w:rPr/>
        <w:t xml:space="preserve">916-</w:t>
      </w:r>
      <w:r>
        <w:rPr/>
        <w:t xml:space="preserve">2</w:t>
      </w:r>
      <w:r>
        <w:rPr/>
        <w:t xml:space="preserve"> </w:t>
      </w:r>
      <w:r>
        <w:rPr/>
        <w:t xml:space="preserve">Superpave PG Asphalt Binder:</w:t>
      </w:r>
    </w:p>
    <w:p>
      <w:pPr>
        <w:pStyle w:val="BodyText"/>
        <w:spacing/>
        <w:rPr/>
      </w:pPr>
      <w:r>
        <w:rPr/>
        <w:tab/>
        <w:t xml:space="preserve"/>
      </w:r>
      <w:r>
        <w:rPr>
          <w:b/>
          <w:bCs/>
        </w:rPr>
        <w:t xml:space="preserve">916-</w:t>
      </w:r>
      <w:r>
        <w:rPr>
          <w:b/>
          <w:bCs/>
        </w:rPr>
        <w:t xml:space="preserve">2</w:t>
      </w:r>
      <w:r>
        <w:rPr>
          <w:b/>
          <w:bCs/>
        </w:rPr>
        <w:t xml:space="preserve">.1 Requirements: </w:t>
      </w:r>
      <w:r>
        <w:rPr/>
        <w:t xml:space="preserve">Superpave Performance Graded (PG) asphalt binders, identified </w:t>
      </w:r>
      <w:r>
        <w:rPr/>
        <w:t xml:space="preserve">as PG 52-28, PG 58-22, PG 67-22, polymer modified asphalt (PMA) binders, PG 76-22 (PMA) and PG 82-22 (PMA), and asphalt rubber binders (ARB), PG 76-22 (ARB), shall meet the requirements of 916-</w:t>
      </w:r>
      <w:r>
        <w:rPr/>
        <w:t xml:space="preserve">2</w:t>
      </w:r>
      <w:r>
        <w:rPr/>
        <w:t xml:space="preserve"> and AASHTO M</w:t>
      </w:r>
      <w:r>
        <w:rPr/>
        <w:t xml:space="preserve"> </w:t>
      </w:r>
      <w:r>
        <w:rPr/>
        <w:t xml:space="preserve">332-14. All PG asphalt binders shall meet the following additional requirements:</w:t>
      </w:r>
    </w:p>
    <w:p>
      <w:pPr>
        <w:pStyle w:val="BodyText"/>
        <w:spacing/>
        <w:rPr/>
      </w:pPr>
      <w:r>
        <w:rPr/>
        <w:tab/>
        <w:t xml:space="preserve"/>
      </w:r>
      <w:r>
        <w:rPr/>
        <w:tab/>
        <w:t xml:space="preserve"/>
      </w:r>
      <w:r>
        <w:rPr/>
        <w:t xml:space="preserve">1. The intermediate test temperature at 10 rad</w:t>
      </w:r>
      <w:r>
        <w:rPr/>
        <w:t xml:space="preserve">/s</w:t>
      </w:r>
      <w:r>
        <w:rPr/>
        <w:t xml:space="preserve">ec</w:t>
      </w:r>
      <w:r>
        <w:rPr/>
        <w:t xml:space="preserve">. for the Dynami</w:t>
      </w:r>
      <w:r>
        <w:rPr/>
        <w:t xml:space="preserve">c Shear Rheometer </w:t>
      </w:r>
      <w:r>
        <w:rPr/>
        <w:t xml:space="preserve">(DSR) </w:t>
      </w:r>
      <w:r>
        <w:rPr/>
        <w:t xml:space="preserve">test </w:t>
      </w:r>
      <w:r>
        <w:rPr/>
        <w:t xml:space="preserve">(AASHTO T</w:t>
      </w:r>
      <w:r>
        <w:rPr/>
        <w:t xml:space="preserve"> </w:t>
      </w:r>
      <w:r>
        <w:rPr/>
        <w:t xml:space="preserve">315-12)</w:t>
      </w:r>
      <w:r>
        <w:rPr/>
        <w:t xml:space="preserve"> shall be </w:t>
      </w:r>
      <w:r>
        <w:rPr/>
        <w:t xml:space="preserve">26.5</w:t>
      </w:r>
      <w:r>
        <w:rPr/>
        <w:t xml:space="preserve">ºC </w:t>
      </w:r>
      <w:r>
        <w:rPr/>
        <w:t xml:space="preserve">for </w:t>
      </w:r>
      <w:r>
        <w:rPr/>
        <w:t xml:space="preserve">PG </w:t>
      </w:r>
      <w:r>
        <w:rPr/>
        <w:t xml:space="preserve">grades PG</w:t>
      </w:r>
      <w:r>
        <w:rPr/>
        <w:t xml:space="preserve"> </w:t>
      </w:r>
      <w:r>
        <w:rPr/>
        <w:t xml:space="preserve">67</w:t>
      </w:r>
      <w:r>
        <w:rPr/>
        <w:t xml:space="preserve"> and higher.</w:t>
      </w:r>
    </w:p>
    <w:p>
      <w:pPr>
        <w:pStyle w:val="BodyText"/>
        <w:spacing/>
        <w:rPr/>
      </w:pPr>
      <w:r>
        <w:rPr/>
        <w:tab/>
        <w:t xml:space="preserve"/>
      </w:r>
      <w:r>
        <w:rPr/>
        <w:tab/>
        <w:t xml:space="preserve"/>
      </w:r>
      <w:r>
        <w:rPr/>
        <w:t xml:space="preserve">2. An additional high temperature grade of PG 67 is added for which the high test temperature at 10</w:t>
      </w:r>
      <w:r>
        <w:rPr/>
        <w:t xml:space="preserve"> </w:t>
      </w:r>
      <w:r>
        <w:rPr/>
        <w:t xml:space="preserve">rad/sec for the </w:t>
      </w:r>
      <w:r>
        <w:rPr/>
        <w:t xml:space="preserve">DSR </w:t>
      </w:r>
      <w:r>
        <w:rPr/>
        <w:t xml:space="preserve">test </w:t>
      </w:r>
      <w:r>
        <w:rPr/>
        <w:t xml:space="preserve">(AASHTO T</w:t>
      </w:r>
      <w:r>
        <w:rPr/>
        <w:t xml:space="preserve"> </w:t>
      </w:r>
      <w:r>
        <w:rPr/>
        <w:t xml:space="preserve">315-12)</w:t>
      </w:r>
      <w:r>
        <w:rPr/>
        <w:t xml:space="preserve"> shall be 67ºC.</w:t>
      </w:r>
    </w:p>
    <w:p>
      <w:pPr>
        <w:pStyle w:val="BodyText"/>
        <w:spacing/>
        <w:rPr/>
      </w:pPr>
      <w:r>
        <w:rPr/>
        <w:tab/>
        <w:t xml:space="preserve"/>
      </w:r>
      <w:r>
        <w:rPr/>
        <w:tab/>
        <w:t xml:space="preserve"/>
      </w:r>
      <w:r>
        <w:rPr/>
        <w:t xml:space="preserve">3. All PG asphalt binders having a high temperature designation of PG 67 or lower shall be prepared without modification.</w:t>
      </w:r>
    </w:p>
    <w:p>
      <w:pPr>
        <w:pStyle w:val="BodyText"/>
        <w:spacing/>
        <w:rPr/>
      </w:pPr>
      <w:r>
        <w:rPr/>
        <w:tab/>
        <w:t xml:space="preserve"/>
      </w:r>
      <w:r>
        <w:rPr/>
        <w:tab/>
        <w:t xml:space="preserve"/>
      </w:r>
      <w:r>
        <w:rPr/>
        <w:t xml:space="preserve">4. All </w:t>
      </w:r>
      <w:r>
        <w:rPr/>
        <w:t xml:space="preserve">PMA</w:t>
      </w:r>
      <w:r>
        <w:rPr/>
        <w:t xml:space="preserve"> </w:t>
      </w:r>
      <w:r>
        <w:rPr/>
        <w:t xml:space="preserve">binders having a high temperature designation higher than PG 67 shall </w:t>
      </w:r>
      <w:r>
        <w:rPr/>
        <w:t xml:space="preserve">only </w:t>
      </w:r>
      <w:r>
        <w:rPr/>
        <w:t xml:space="preserve">be produced with a styrene-butadiene-styrene (SBS) or styrene-butadiene (SB) elastomeric polymer modifier and </w:t>
      </w:r>
      <w:r>
        <w:rPr/>
        <w:t xml:space="preserve">the </w:t>
      </w:r>
      <w:r>
        <w:rPr/>
        <w:t xml:space="preserve">resultant binder shall meet all requirements of this S</w:t>
      </w:r>
      <w:r>
        <w:rPr/>
        <w:t xml:space="preserve">ection</w:t>
      </w:r>
      <w:r>
        <w:rPr/>
        <w:t xml:space="preserve">.</w:t>
      </w:r>
    </w:p>
    <w:p>
      <w:pPr>
        <w:pStyle w:val="BodyText"/>
        <w:spacing/>
        <w:rPr/>
      </w:pPr>
      <w:r>
        <w:rPr/>
        <w:tab/>
        <w:t xml:space="preserve"/>
      </w:r>
      <w:r>
        <w:rPr/>
        <w:tab/>
        <w:t xml:space="preserve"/>
      </w:r>
      <w:r>
        <w:rPr/>
        <w:t xml:space="preserve">5</w:t>
      </w:r>
      <w:r>
        <w:rPr/>
        <w:t xml:space="preserve">. </w:t>
      </w:r>
      <w:r>
        <w:rPr/>
        <w:t xml:space="preserve">P</w:t>
      </w:r>
      <w:r>
        <w:rPr/>
        <w:t xml:space="preserve">olyphosphoric acid may be used as a modifier not exceeding </w:t>
      </w:r>
      <w:r>
        <w:rPr/>
        <w:t xml:space="preserve">0</w:t>
      </w:r>
      <w:r>
        <w:rPr/>
        <w:t xml:space="preserve">.</w:t>
      </w:r>
      <w:r>
        <w:rPr/>
        <w:t xml:space="preserve">7</w:t>
      </w:r>
      <w:r>
        <w:rPr/>
        <w:t xml:space="preserve">5% by weight of asphalt binder</w:t>
      </w:r>
      <w:r>
        <w:rPr/>
        <w:t xml:space="preserve"> </w:t>
      </w:r>
      <w:r>
        <w:rPr/>
        <w:t xml:space="preserve">for PG 76-22 (PMA), PG 76-22 (ARB), and PG</w:t>
      </w:r>
      <w:r>
        <w:rPr/>
        <w:t xml:space="preserve"> </w:t>
      </w:r>
      <w:r>
        <w:rPr/>
        <w:t xml:space="preserve">82-22 (PMA) binders</w:t>
      </w:r>
      <w:r>
        <w:rPr/>
        <w:t xml:space="preserve">.</w:t>
      </w:r>
    </w:p>
    <w:p>
      <w:pPr>
        <w:pStyle w:val="BodyText"/>
        <w:spacing/>
        <w:rPr/>
      </w:pPr>
      <w:r>
        <w:rPr/>
        <w:tab/>
        <w:t xml:space="preserve"/>
      </w:r>
      <w:r>
        <w:rPr/>
        <w:tab/>
        <w:t xml:space="preserve"/>
      </w:r>
      <w:r>
        <w:rPr/>
        <w:t xml:space="preserve">6. </w:t>
      </w:r>
      <w:r>
        <w:rPr/>
        <w:t xml:space="preserve">PG</w:t>
      </w:r>
      <w:r>
        <w:rPr/>
        <w:t xml:space="preserve"> </w:t>
      </w:r>
      <w:r>
        <w:rPr/>
        <w:t xml:space="preserve">7</w:t>
      </w:r>
      <w:r>
        <w:rPr/>
        <w:t xml:space="preserve">6</w:t>
      </w:r>
      <w:r>
        <w:rPr/>
        <w:t xml:space="preserve">-22 (ARB) shall meet the additional requirements of 916-</w:t>
      </w:r>
      <w:r>
        <w:rPr/>
        <w:t xml:space="preserve">2</w:t>
      </w:r>
      <w:r>
        <w:rPr/>
        <w:t xml:space="preserve">.1.1.</w:t>
      </w:r>
    </w:p>
    <w:p>
      <w:pPr>
        <w:pStyle w:val="BodyText"/>
        <w:spacing/>
        <w:rPr/>
      </w:pPr>
      <w:r>
        <w:rPr/>
        <w:tab/>
        <w:t xml:space="preserve"/>
      </w:r>
      <w:r>
        <w:rPr/>
        <w:tab/>
        <w:t xml:space="preserve"/>
      </w:r>
      <w:r>
        <w:rPr/>
        <w:t xml:space="preserve">7</w:t>
      </w:r>
      <w:r>
        <w:rPr/>
        <w:t xml:space="preserve">. </w:t>
      </w:r>
      <w:r>
        <w:rPr/>
        <w:t xml:space="preserve">All PG asphalt binders having a high temperature designation of PG 67 or lower shall not</w:t>
      </w:r>
      <w:r>
        <w:rPr/>
        <w:t xml:space="preserve"> </w:t>
      </w:r>
      <w:r>
        <w:rPr/>
        <w:t xml:space="preserve">have</w:t>
      </w:r>
      <w:r>
        <w:rPr/>
        <w:t xml:space="preserve"> </w:t>
      </w:r>
      <w:r>
        <w:rPr/>
        <w:t xml:space="preserve">a high temperature </w:t>
      </w:r>
      <w:r>
        <w:rPr/>
        <w:t xml:space="preserve">true </w:t>
      </w:r>
      <w:r>
        <w:rPr/>
        <w:t xml:space="preserve">grade</w:t>
      </w:r>
      <w:r>
        <w:rPr/>
        <w:t xml:space="preserve"> more than 5.9°C</w:t>
      </w:r>
      <w:r>
        <w:rPr/>
        <w:t xml:space="preserve"> higher than the specified PG grade, </w:t>
      </w:r>
      <w:r>
        <w:rPr/>
        <w:t xml:space="preserve">(</w:t>
      </w:r>
      <w:r>
        <w:rPr/>
        <w:t xml:space="preserve">for example,</w:t>
      </w:r>
      <w:r>
        <w:rPr/>
        <w:t xml:space="preserve"> if a PG</w:t>
      </w:r>
      <w:r>
        <w:rPr/>
        <w:t xml:space="preserve"> </w:t>
      </w:r>
      <w:r>
        <w:rPr/>
        <w:t xml:space="preserve">58-22 is specified, do not supply a PG</w:t>
      </w:r>
      <w:r>
        <w:rPr/>
        <w:t xml:space="preserve"> </w:t>
      </w:r>
      <w:r>
        <w:rPr/>
        <w:t xml:space="preserve">64-22 or higher</w:t>
      </w:r>
      <w:r>
        <w:rPr/>
        <w:t xml:space="preserve">)</w:t>
      </w:r>
      <w:r>
        <w:rPr/>
        <w:t xml:space="preserve">.</w:t>
      </w:r>
    </w:p>
    <w:p>
      <w:pPr>
        <w:pStyle w:val="BodyText"/>
        <w:spacing/>
        <w:rPr/>
      </w:pPr>
      <w:r>
        <w:rPr/>
        <w:tab/>
        <w:t xml:space="preserve"/>
      </w:r>
      <w:r>
        <w:rPr/>
        <w:tab/>
        <w:t xml:space="preserve"/>
      </w:r>
      <w:r>
        <w:rPr/>
        <w:t xml:space="preserve">For all PG binder used in all hot mix asphalt, silicone may be added to the PG binder at the rate of 25 cubic centimeters of silicone mixed to each 5,000 gallons of PG binder. If a disbursing fluid is used in conjunction with the silicone, the resultant mixture containing the full 25 cubic centimeters of silicone shall be added in accordance with the manufacturer’s recommendation. The blending of the silicone with the PG binder shall be done by the supplier prior to the shipment.</w:t>
      </w:r>
      <w:r>
        <w:rPr/>
        <w:t xml:space="preserve"> When the asphalt binder will be used with a foaming warm mix technology, refer to the technology supplier’s guidance on the addition of silicone.</w:t>
      </w:r>
    </w:p>
    <w:p>
      <w:pPr>
        <w:pStyle w:val="BodyText"/>
        <w:spacing/>
        <w:rPr/>
      </w:pPr>
      <w:r>
        <w:rPr/>
        <w:tab/>
        <w:t xml:space="preserve"/>
      </w:r>
      <w:r>
        <w:rPr/>
        <w:tab/>
        <w:t xml:space="preserve"/>
      </w:r>
      <w:r>
        <w:rPr/>
        <w:t xml:space="preserve">Where an anti-strip additive is required, </w:t>
      </w:r>
      <w:r>
        <w:rPr/>
        <w:t xml:space="preserve">per the requirements of Sections 334 and 337, the amount</w:t>
      </w:r>
      <w:r>
        <w:rPr/>
        <w:t xml:space="preserve"> shall be from 0.25</w:t>
      </w:r>
      <w:r>
        <w:rPr/>
        <w:t xml:space="preserve">%</w:t>
      </w:r>
      <w:r>
        <w:rPr/>
        <w:t xml:space="preserve"> to 0.75%</w:t>
      </w:r>
      <w:r>
        <w:rPr/>
        <w:t xml:space="preserve"> by weight of asphalt binder</w:t>
      </w:r>
      <w:r>
        <w:rPr/>
        <w:t xml:space="preserve">. The anti-strip additive shall meet the requirements </w:t>
      </w:r>
      <w:r>
        <w:rPr/>
        <w:t xml:space="preserve">of 916</w:t>
      </w:r>
      <w:r>
        <w:rPr/>
        <w:t xml:space="preserve">-</w:t>
      </w:r>
      <w:r>
        <w:rPr/>
        <w:t xml:space="preserve">4</w:t>
      </w:r>
      <w:r>
        <w:rPr/>
        <w:t xml:space="preserve">.</w:t>
      </w:r>
      <w:r>
        <w:rPr/>
        <w:t xml:space="preserve"> The anti-strip additive shall be introduced into the PG binder by the supplier during loading.</w:t>
      </w:r>
    </w:p>
    <w:p>
      <w:pPr>
        <w:pStyle w:val="BodyText"/>
        <w:spacing/>
        <w:rPr/>
      </w:pPr>
      <w:r>
        <w:rPr/>
        <w:tab/>
        <w:t xml:space="preserve"/>
      </w:r>
      <w:r>
        <w:rPr/>
        <w:tab/>
        <w:t xml:space="preserve"/>
      </w:r>
      <w:r>
        <w:rPr>
          <w:b/>
        </w:rPr>
        <w:t xml:space="preserve">916-</w:t>
      </w:r>
      <w:r>
        <w:rPr>
          <w:b/>
        </w:rPr>
        <w:t xml:space="preserve">2</w:t>
      </w:r>
      <w:r>
        <w:rPr>
          <w:b/>
        </w:rPr>
        <w:t xml:space="preserve">.1.1</w:t>
      </w:r>
      <w:r>
        <w:rPr>
          <w:b/>
        </w:rPr>
        <w:t xml:space="preserve"> Additional Requir</w:t>
      </w:r>
      <w:r>
        <w:rPr>
          <w:b/>
        </w:rPr>
        <w:t xml:space="preserve">e</w:t>
      </w:r>
      <w:r>
        <w:rPr>
          <w:b/>
        </w:rPr>
        <w:t xml:space="preserve">ments for PG</w:t>
      </w:r>
      <w:r>
        <w:rPr>
          <w:b/>
        </w:rPr>
        <w:t xml:space="preserve"> </w:t>
      </w:r>
      <w:r>
        <w:rPr>
          <w:b/>
        </w:rPr>
        <w:t xml:space="preserve">76-22 (ARB):</w:t>
      </w:r>
      <w:r>
        <w:rPr/>
        <w:t xml:space="preserve"> The following additional requirements apply only to PG</w:t>
      </w:r>
      <w:r>
        <w:rPr/>
        <w:t xml:space="preserve"> </w:t>
      </w:r>
      <w:r>
        <w:rPr/>
        <w:t xml:space="preserve">76-22 (ARB)</w:t>
      </w:r>
      <w:r>
        <w:rPr/>
        <w:t xml:space="preserve">:</w:t>
      </w:r>
    </w:p>
    <w:p>
      <w:pPr>
        <w:pStyle w:val="BodyText"/>
        <w:spacing/>
        <w:rPr/>
      </w:pPr>
      <w:r>
        <w:rPr/>
        <w:tab/>
        <w:t xml:space="preserve"/>
      </w:r>
      <w:r>
        <w:rPr/>
        <w:tab/>
        <w:t xml:space="preserve"/>
      </w:r>
      <w:r>
        <w:rPr/>
        <w:tab/>
        <w:t xml:space="preserve"/>
      </w:r>
      <w:r>
        <w:rPr/>
        <w:t xml:space="preserve">1.</w:t>
      </w:r>
      <w:r>
        <w:rPr/>
        <w:t xml:space="preserve"> </w:t>
      </w:r>
      <w:r>
        <w:rPr/>
        <w:t xml:space="preserve">The asphalt binder shall contain a minimum of 7.0% ground tire rubber</w:t>
      </w:r>
      <w:r>
        <w:rPr/>
        <w:t xml:space="preserve"> (GTR) </w:t>
      </w:r>
      <w:r>
        <w:rPr/>
        <w:t xml:space="preserve">by weight of asphalt binder</w:t>
      </w:r>
      <w:r>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 The GTR shall meet the requirements of Section</w:t>
      </w:r>
      <w:r>
        <w:rPr>
          <w:szCs w:val="24"/>
        </w:rPr>
        <w:t xml:space="preserve"> </w:t>
      </w:r>
      <w:r>
        <w:rPr>
          <w:szCs w:val="24"/>
        </w:rPr>
        <w:t xml:space="preserve">919</w:t>
      </w:r>
      <w:r>
        <w:rPr>
          <w:szCs w:val="24"/>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3. Polymer modification is optional for PG</w:t>
      </w:r>
      <w:r>
        <w:rPr>
          <w:szCs w:val="24"/>
        </w:rPr>
        <w:t xml:space="preserve"> </w:t>
      </w:r>
      <w:r>
        <w:rPr>
          <w:szCs w:val="24"/>
        </w:rPr>
        <w:t xml:space="preserve">76-22 (ARB).</w:t>
      </w:r>
    </w:p>
    <w:p>
      <w:pPr>
        <w:spacing/>
        <w:rPr/>
      </w:pPr>
      <w:r>
        <w:rPr/>
        <w:tab/>
        <w:t xml:space="preserve"/>
      </w:r>
      <w:r>
        <w:rPr/>
        <w:tab/>
        <w:t xml:space="preserve"/>
      </w:r>
      <w:r>
        <w:rPr/>
        <w:tab/>
        <w:t xml:space="preserve"/>
      </w:r>
      <w:r>
        <w:rPr/>
        <w:t xml:space="preserve">4</w:t>
      </w:r>
      <w:r>
        <w:rPr/>
        <w:t xml:space="preserve">. Use of excess PG 76-22 (ARB): The Contractor may use excess PG 76-22 (ARB) in other asphalt concrete mixes requiring the use of a PG 67-22 binder by blending with straight PG 67-22 binder so that the total amount of ground tire rubber in the binder is less than 2.0%. The Contractor may use excess PG 76-22 (ARB) in asphalt concrete mixtures requiring the use of a PG 52-28 or PG 58-22 by blending with the designated binder in such proportions that the total amount of ground tire rubber in the binder is less than 1.0%.</w:t>
      </w:r>
    </w:p>
    <w:p>
      <w:pPr>
        <w:spacing/>
        <w:rPr/>
      </w:pPr>
      <w:r>
        <w:rPr/>
        <w:tab/>
        <w:t xml:space="preserve"/>
      </w:r>
      <w:r>
        <w:rPr>
          <w:b/>
        </w:rPr>
        <w:t xml:space="preserve">916-</w:t>
      </w:r>
      <w:r>
        <w:rPr>
          <w:b/>
        </w:rPr>
        <w:t xml:space="preserve">2</w:t>
      </w:r>
      <w:r>
        <w:rPr>
          <w:b/>
        </w:rPr>
        <w:t xml:space="preserve">.2 Compliance with Materials Manual: </w:t>
      </w:r>
      <w:r>
        <w:rPr/>
        <w:t xml:space="preserve">Producers of Superpave PG binders shall meet the requirements of Section 3.5, Volume II of the Department’s Material Manual, which may be viewed at the following URL: </w:t>
      </w:r>
      <w:r>
        <w:rPr/>
        <w:fldChar w:fldCharType="begin"/>
      </w:r>
      <w:r>
        <w:rPr/>
        <w:instrText xml:space="preserve">HYPERLINK "http://www.dot.state.fl.us/programmanagement/Implemented/URLinSpecs/files/Section3.5-100915.pdf" </w:instrText>
      </w:r>
      <w:r>
        <w:rPr/>
        <w:fldChar w:fldCharType="separate"/>
      </w:r>
      <w:r>
        <w:rPr>
          <w:rStyle w:val="Hyperlink"/>
        </w:rPr>
        <w:t xml:space="preserve">http://www.dot.state.fl.us/programmanagement/Implemented/URLinSpecs/files/Section3.5-100915.pdf</w:t>
      </w:r>
      <w:r>
        <w:rPr/>
        <w:fldChar w:fldCharType="end"/>
      </w:r>
      <w:r>
        <w:rPr/>
        <w:t xml:space="preserve"> </w:t>
      </w:r>
    </w:p>
    <w:p>
      <w:pPr>
        <w:pStyle w:val="BodyText"/>
        <w:spacing/>
        <w:rPr/>
      </w:pPr>
      <w:r>
        <w:rPr/>
        <w:tab/>
        <w:t xml:space="preserve"/>
      </w:r>
      <w:r>
        <w:rPr>
          <w:b/>
          <w:bCs/>
        </w:rPr>
        <w:t xml:space="preserve">916-</w:t>
      </w:r>
      <w:r>
        <w:rPr>
          <w:b/>
          <w:bCs/>
        </w:rPr>
        <w:t xml:space="preserve">2</w:t>
      </w:r>
      <w:r>
        <w:rPr>
          <w:b/>
          <w:bCs/>
        </w:rPr>
        <w:t xml:space="preserve">.</w:t>
      </w:r>
      <w:r>
        <w:rPr>
          <w:b/>
          <w:bCs/>
        </w:rPr>
        <w:t xml:space="preserve">3 </w:t>
      </w:r>
      <w:r>
        <w:rPr>
          <w:b/>
          <w:bCs/>
        </w:rPr>
        <w:t xml:space="preserve">Reporting:</w:t>
      </w:r>
      <w:r>
        <w:rPr/>
        <w:t xml:space="preserve"> </w:t>
      </w:r>
      <w:r>
        <w:rPr/>
        <w:t xml:space="preserve">S</w:t>
      </w:r>
      <w:r>
        <w:rPr/>
        <w:t xml:space="preserve">pecification </w:t>
      </w:r>
      <w:r>
        <w:rPr/>
        <w:t xml:space="preserve">c</w:t>
      </w:r>
      <w:r>
        <w:rPr/>
        <w:t xml:space="preserve">ompliance </w:t>
      </w:r>
      <w:r>
        <w:rPr/>
        <w:t xml:space="preserve">t</w:t>
      </w:r>
      <w:r>
        <w:rPr/>
        <w:t xml:space="preserve">esting</w:t>
      </w:r>
      <w:r>
        <w:rPr/>
        <w:t xml:space="preserve"> results shall be reported for the tests in </w:t>
      </w:r>
      <w:r>
        <w:rPr/>
        <w:t xml:space="preserve">the table belo</w:t>
      </w:r>
      <w:r>
        <w:rPr/>
        <w:t xml:space="preserve">w</w:t>
      </w:r>
      <w:r>
        <w:rPr/>
        <w:t xml:space="preserve">, unless noted otherwise.</w:t>
      </w:r>
      <w:r>
        <w:rPr/>
        <w:t xml:space="preserve"> </w:t>
      </w:r>
      <w:r>
        <w:rPr/>
        <w:t xml:space="preserve">Q</w:t>
      </w:r>
      <w:r>
        <w:rPr/>
        <w:t xml:space="preserve">uality control (</w:t>
      </w:r>
      <w:r>
        <w:rPr/>
        <w:t xml:space="preserve">QC</w:t>
      </w:r>
      <w:r>
        <w:rPr/>
        <w:t xml:space="preserve">)</w:t>
      </w:r>
      <w:r>
        <w:rPr/>
        <w:t xml:space="preserve"> </w:t>
      </w:r>
      <w:r>
        <w:rPr/>
        <w:t xml:space="preserve">t</w:t>
      </w:r>
      <w:r>
        <w:rPr/>
        <w:t xml:space="preserve">esting</w:t>
      </w:r>
      <w:r>
        <w:rPr/>
        <w:t xml:space="preserve"> results shall be reported for original binder DSR (G/sin </w:t>
      </w:r>
      <w:r>
        <w:rPr>
          <w:rFonts w:ascii="(" w:hAnsi="(" w:eastAsia="(" w:cs="("/>
        </w:rPr>
        <w:t xml:space="preserve">δ</w:t>
      </w:r>
      <w:r>
        <w:rPr/>
        <w:t xml:space="preserve"> and phase angle, as applicable)</w:t>
      </w:r>
      <w:r>
        <w:rPr/>
        <w:t xml:space="preserve">.</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705"/>
        <w:gridCol w:w="4070"/>
        <w:gridCol w:w="2585"/>
      </w:tblGrid>
      <w:tr>
        <w:trPr>
          <w:trHeight w:val="430" w:hRule="atLeast"/>
          <w:tblHeader/>
          <w:jc w:val="center"/>
        </w:trPr>
        <w:tc>
          <w:tcPr>
            <w:tcW w:type="pct" w:w="5000"/>
            <w:gridSpan w:val="3"/>
            <w:tcBorders/>
            <w:vAlign w:val="center"/>
          </w:tcPr>
          <w:p>
            <w:pPr>
              <w:pStyle w:val="BodyText"/>
              <w:spacing/>
              <w:jc w:val="center"/>
              <w:rPr/>
            </w:pPr>
            <w:r>
              <w:rPr/>
              <w:t xml:space="preserve">SUPERPAVE PG ASPHALT BINDER</w:t>
            </w:r>
          </w:p>
        </w:tc>
      </w:tr>
      <w:tr>
        <w:trPr>
          <w:tblHeader/>
          <w:jc w:val="center"/>
        </w:trPr>
        <w:tc>
          <w:tcPr>
            <w:tcW w:type="pct" w:w="1445"/>
            <w:tcBorders/>
            <w:vAlign w:val="center"/>
          </w:tcPr>
          <w:p>
            <w:pPr>
              <w:pStyle w:val="BodyText"/>
              <w:spacing/>
              <w:jc w:val="center"/>
              <w:rPr/>
            </w:pPr>
            <w:r>
              <w:rPr/>
              <w:t xml:space="preserve">Test and Method</w:t>
            </w:r>
          </w:p>
        </w:tc>
        <w:tc>
          <w:tcPr>
            <w:tcW w:type="pct" w:w="2174"/>
            <w:tcBorders/>
            <w:vAlign w:val="center"/>
          </w:tcPr>
          <w:p>
            <w:pPr>
              <w:pStyle w:val="BodyText"/>
              <w:spacing/>
              <w:jc w:val="center"/>
              <w:rPr/>
            </w:pPr>
            <w:r>
              <w:rPr/>
              <w:t xml:space="preserve">Conditions</w:t>
            </w:r>
          </w:p>
        </w:tc>
        <w:tc>
          <w:tcPr>
            <w:tcW w:type="pct" w:w="1381"/>
            <w:tcBorders/>
            <w:vAlign w:val="center"/>
          </w:tcPr>
          <w:p>
            <w:pPr>
              <w:pStyle w:val="BodyText"/>
              <w:spacing/>
              <w:jc w:val="center"/>
              <w:rPr/>
            </w:pPr>
            <w:r>
              <w:rPr/>
              <w:t xml:space="preserve">Specification Minimum/Maximum Value</w:t>
            </w:r>
          </w:p>
        </w:tc>
      </w:tr>
      <w:tr>
        <w:trPr>
          <w:tblHeader/>
          <w:jc w:val="center"/>
        </w:trPr>
        <w:tc>
          <w:tcPr>
            <w:tcW w:type="pct" w:w="1445"/>
            <w:tcBorders/>
            <w:vAlign w:val="center"/>
          </w:tcPr>
          <w:p>
            <w:pPr>
              <w:pStyle w:val="BodyText"/>
              <w:spacing/>
              <w:jc w:val="center"/>
              <w:rPr/>
            </w:pPr>
            <w:r>
              <w:rPr/>
              <w:t xml:space="preserve">Superpave PG Asphalt Binder Grade</w:t>
            </w:r>
          </w:p>
        </w:tc>
        <w:tc>
          <w:tcPr>
            <w:tcW w:type="pct" w:w="2174"/>
            <w:tcBorders/>
            <w:vAlign w:val="center"/>
          </w:tcPr>
          <w:p>
            <w:pPr>
              <w:pStyle w:val="BodyText"/>
              <w:spacing/>
              <w:jc w:val="center"/>
              <w:rPr/>
            </w:pPr>
          </w:p>
        </w:tc>
        <w:tc>
          <w:tcPr>
            <w:tcW w:type="pct" w:w="1381"/>
            <w:tcBorders/>
            <w:vAlign w:val="center"/>
          </w:tcPr>
          <w:p>
            <w:pPr>
              <w:pStyle w:val="BodyText"/>
              <w:spacing/>
              <w:jc w:val="center"/>
              <w:rPr/>
            </w:pPr>
            <w:r>
              <w:rPr/>
              <w:t xml:space="preserve">Report</w:t>
            </w:r>
          </w:p>
        </w:tc>
      </w:tr>
      <w:tr>
        <w:trPr>
          <w:tblHeader/>
          <w:jc w:val="center"/>
        </w:trPr>
        <w:tc>
          <w:tcPr>
            <w:tcW w:type="pct" w:w="1445"/>
            <w:tcBorders/>
            <w:vAlign w:val="center"/>
          </w:tcPr>
          <w:p>
            <w:pPr>
              <w:pStyle w:val="BodyText"/>
              <w:spacing/>
              <w:jc w:val="center"/>
              <w:rPr/>
            </w:pPr>
            <w:r>
              <w:rPr/>
              <w:t xml:space="preserve">A</w:t>
            </w:r>
            <w:r>
              <w:rPr/>
              <w:t xml:space="preserve">PL Number</w:t>
            </w:r>
          </w:p>
        </w:tc>
        <w:tc>
          <w:tcPr>
            <w:tcW w:type="pct" w:w="2174"/>
            <w:tcBorders/>
            <w:vAlign w:val="center"/>
          </w:tcPr>
          <w:p>
            <w:pPr>
              <w:pStyle w:val="BodyText"/>
              <w:spacing/>
              <w:jc w:val="center"/>
              <w:rPr/>
            </w:pPr>
          </w:p>
        </w:tc>
        <w:tc>
          <w:tcPr>
            <w:tcW w:type="pct" w:w="1381"/>
            <w:tcBorders/>
            <w:vAlign w:val="center"/>
          </w:tcPr>
          <w:p>
            <w:pPr>
              <w:pStyle w:val="BodyText"/>
              <w:spacing/>
              <w:jc w:val="center"/>
              <w:rPr/>
            </w:pPr>
            <w:r>
              <w:rPr/>
              <w:t xml:space="preserve">Report</w:t>
            </w:r>
          </w:p>
        </w:tc>
      </w:tr>
      <w:tr>
        <w:trPr>
          <w:tblHeader/>
          <w:jc w:val="center"/>
        </w:trPr>
        <w:tc>
          <w:tcPr>
            <w:tcW w:type="pct" w:w="1445"/>
            <w:tcBorders/>
            <w:vAlign w:val="center"/>
          </w:tcPr>
          <w:p>
            <w:pPr>
              <w:pStyle w:val="BodyText"/>
              <w:spacing/>
              <w:jc w:val="center"/>
              <w:rPr/>
            </w:pPr>
            <w:r>
              <w:rPr/>
              <w:t xml:space="preserve">Modifier</w:t>
            </w:r>
            <w:r>
              <w:rPr/>
              <w:t xml:space="preserve"> (name and type)</w:t>
            </w:r>
            <w:r>
              <w:rPr/>
              <w:t xml:space="preserve"> </w:t>
            </w:r>
          </w:p>
        </w:tc>
        <w:tc>
          <w:tcPr>
            <w:tcW w:type="pct" w:w="2174"/>
            <w:tcBorders/>
            <w:vAlign w:val="center"/>
          </w:tcPr>
          <w:p>
            <w:pPr>
              <w:pStyle w:val="BodyText"/>
              <w:spacing/>
              <w:jc w:val="center"/>
              <w:rPr/>
            </w:pPr>
            <w:r>
              <w:rPr/>
              <w:t xml:space="preserve">Polymer, Ground Tire Rubber with App</w:t>
            </w:r>
            <w:r>
              <w:rPr/>
              <w:t xml:space="preserve">roved</w:t>
            </w:r>
            <w:r>
              <w:rPr/>
              <w:t xml:space="preserve"> Product List (APL) number</w:t>
            </w:r>
            <w:r>
              <w:rPr/>
              <w:t xml:space="preserve">, Sulfur, PPA, REOB,</w:t>
            </w:r>
            <w:r>
              <w:rPr/>
              <w:t xml:space="preserve"> and any Rejuvenating Agents</w:t>
            </w:r>
          </w:p>
        </w:tc>
        <w:tc>
          <w:tcPr>
            <w:tcW w:type="pct" w:w="1381"/>
            <w:tcBorders/>
            <w:vAlign w:val="center"/>
          </w:tcPr>
          <w:p>
            <w:pPr>
              <w:pStyle w:val="BodyText"/>
              <w:spacing/>
              <w:jc w:val="center"/>
              <w:rPr/>
            </w:pPr>
            <w:r>
              <w:rPr/>
              <w:t xml:space="preserve">Report</w:t>
            </w:r>
          </w:p>
        </w:tc>
      </w:tr>
      <w:tr>
        <w:trPr>
          <w:trHeight w:val="430" w:hRule="atLeast"/>
          <w:tblHeader/>
          <w:jc w:val="center"/>
        </w:trPr>
        <w:tc>
          <w:tcPr>
            <w:tcW w:type="pct" w:w="5000"/>
            <w:gridSpan w:val="3"/>
            <w:tcBorders/>
            <w:vAlign w:val="center"/>
          </w:tcPr>
          <w:p>
            <w:pPr>
              <w:pStyle w:val="BodyText"/>
              <w:spacing/>
              <w:jc w:val="center"/>
              <w:rPr/>
            </w:pPr>
            <w:r>
              <w:rPr/>
              <w:t xml:space="preserve">Original Binder</w:t>
            </w:r>
          </w:p>
        </w:tc>
      </w:tr>
      <w:tr>
        <w:trPr>
          <w:tblHeader/>
          <w:jc w:val="center"/>
        </w:trPr>
        <w:tc>
          <w:tcPr>
            <w:tcW w:type="pct" w:w="1445"/>
            <w:tcBorders/>
            <w:vAlign w:val="center"/>
          </w:tcPr>
          <w:p>
            <w:pPr>
              <w:pStyle w:val="BodyText"/>
              <w:spacing/>
              <w:jc w:val="center"/>
              <w:rPr/>
            </w:pPr>
            <w:r>
              <w:rPr/>
              <w:t xml:space="preserve">Solubility, </w:t>
            </w:r>
          </w:p>
          <w:p>
            <w:pPr>
              <w:pStyle w:val="BodyText"/>
              <w:spacing/>
              <w:jc w:val="center"/>
              <w:rPr/>
            </w:pPr>
            <w:r>
              <w:rPr/>
              <w:t xml:space="preserve">AASHTO T 44-</w:t>
            </w:r>
            <w:r>
              <w:rPr/>
              <w:t xml:space="preserve">14 </w:t>
            </w:r>
          </w:p>
        </w:tc>
        <w:tc>
          <w:tcPr>
            <w:tcW w:type="pct" w:w="2174"/>
            <w:tcBorders/>
            <w:vAlign w:val="center"/>
          </w:tcPr>
          <w:p>
            <w:pPr>
              <w:pStyle w:val="BodyText"/>
              <w:spacing/>
              <w:jc w:val="center"/>
              <w:rPr/>
            </w:pPr>
            <w:r>
              <w:rPr/>
              <w:t xml:space="preserve">in Trichloroethylene</w:t>
            </w:r>
          </w:p>
        </w:tc>
        <w:tc>
          <w:tcPr>
            <w:tcW w:type="pct" w:w="1381"/>
            <w:tcBorders/>
            <w:vAlign w:val="center"/>
          </w:tcPr>
          <w:p>
            <w:pPr>
              <w:pStyle w:val="BodyText"/>
              <w:spacing/>
              <w:jc w:val="center"/>
              <w:rPr/>
            </w:pPr>
            <w:r>
              <w:rPr/>
              <w:t xml:space="preserve">Minimum 99.0%</w:t>
            </w:r>
          </w:p>
          <w:p>
            <w:pPr>
              <w:pStyle w:val="BodyText"/>
              <w:spacing/>
              <w:jc w:val="center"/>
              <w:rPr/>
            </w:pPr>
            <w:r>
              <w:rPr/>
              <w:t xml:space="preserve">(Not applicable for</w:t>
            </w:r>
            <w:r>
              <w:rPr/>
              <w:t xml:space="preserve"> </w:t>
            </w:r>
            <w:r>
              <w:rPr/>
              <w:t xml:space="preserve">PG 76-22 (ARB))</w:t>
            </w:r>
          </w:p>
        </w:tc>
      </w:tr>
      <w:tr>
        <w:trPr>
          <w:tblHeader/>
          <w:jc w:val="center"/>
        </w:trPr>
        <w:tc>
          <w:tcPr>
            <w:tcW w:type="pct" w:w="1445"/>
            <w:tcBorders/>
            <w:vAlign w:val="center"/>
          </w:tcPr>
          <w:p>
            <w:pPr>
              <w:pStyle w:val="BodyText"/>
              <w:spacing/>
              <w:jc w:val="center"/>
              <w:rPr/>
            </w:pPr>
            <w:r>
              <w:rPr/>
              <w:t xml:space="preserve">Flash Point, AASHTO T</w:t>
            </w:r>
            <w:r>
              <w:rPr/>
              <w:t xml:space="preserve"> </w:t>
            </w:r>
            <w:r>
              <w:rPr/>
              <w:t xml:space="preserve">48-06 (</w:t>
            </w:r>
            <w:r>
              <w:rPr/>
              <w:t xml:space="preserve">2015</w:t>
            </w:r>
            <w:r>
              <w:rPr/>
              <w:t xml:space="preserve">)</w:t>
            </w:r>
          </w:p>
        </w:tc>
        <w:tc>
          <w:tcPr>
            <w:tcW w:type="pct" w:w="2174"/>
            <w:tcBorders/>
            <w:vAlign w:val="center"/>
          </w:tcPr>
          <w:p>
            <w:pPr>
              <w:pStyle w:val="BodyText"/>
              <w:spacing/>
              <w:jc w:val="center"/>
              <w:rPr/>
            </w:pPr>
            <w:r>
              <w:rPr/>
              <w:t xml:space="preserve">C</w:t>
            </w:r>
            <w:r>
              <w:rPr/>
              <w:t xml:space="preserve">leveland </w:t>
            </w:r>
            <w:r>
              <w:rPr/>
              <w:t xml:space="preserve">O</w:t>
            </w:r>
            <w:r>
              <w:rPr/>
              <w:t xml:space="preserve">pen </w:t>
            </w:r>
            <w:r>
              <w:rPr/>
              <w:t xml:space="preserve">C</w:t>
            </w:r>
            <w:r>
              <w:rPr/>
              <w:t xml:space="preserve">up</w:t>
            </w:r>
          </w:p>
        </w:tc>
        <w:tc>
          <w:tcPr>
            <w:tcW w:type="pct" w:w="1381"/>
            <w:tcBorders/>
            <w:vAlign w:val="center"/>
          </w:tcPr>
          <w:p>
            <w:pPr>
              <w:pStyle w:val="BodyText"/>
              <w:spacing/>
              <w:jc w:val="center"/>
              <w:rPr/>
            </w:pPr>
            <w:r>
              <w:rPr/>
              <w:t xml:space="preserve">Minimum 450ºF </w:t>
            </w:r>
          </w:p>
        </w:tc>
      </w:tr>
      <w:tr>
        <w:trPr>
          <w:tblHeader/>
          <w:jc w:val="center"/>
        </w:trPr>
        <w:tc>
          <w:tcPr>
            <w:tcW w:type="pct" w:w="1445"/>
            <w:tcBorders/>
            <w:vAlign w:val="center"/>
          </w:tcPr>
          <w:p>
            <w:pPr>
              <w:pStyle w:val="BodyText"/>
              <w:spacing/>
              <w:jc w:val="center"/>
              <w:rPr/>
            </w:pPr>
            <w:r>
              <w:rPr/>
              <w:t xml:space="preserve">Rotational Viscosity, AASHTO T 316-1</w:t>
            </w:r>
            <w:r>
              <w:rPr/>
              <w:t xml:space="preserve">3</w:t>
            </w:r>
          </w:p>
        </w:tc>
        <w:tc>
          <w:tcPr>
            <w:tcW w:type="pct" w:w="2174"/>
            <w:tcBorders/>
            <w:vAlign w:val="center"/>
          </w:tcPr>
          <w:p>
            <w:pPr>
              <w:pStyle w:val="BodyText"/>
              <w:spacing/>
              <w:jc w:val="center"/>
              <w:rPr/>
            </w:pPr>
            <w:r>
              <w:rPr/>
              <w:t xml:space="preserve">275ºF</w:t>
            </w:r>
            <w:r>
              <w:rPr/>
              <w:t xml:space="preserve"> </w:t>
            </w:r>
          </w:p>
        </w:tc>
        <w:tc>
          <w:tcPr>
            <w:tcW w:type="pct" w:w="1381"/>
            <w:tcBorders/>
            <w:vAlign w:val="center"/>
          </w:tcPr>
          <w:p>
            <w:pPr>
              <w:pStyle w:val="BodyText"/>
              <w:spacing/>
              <w:jc w:val="center"/>
              <w:rPr/>
            </w:pPr>
            <w:r>
              <w:rPr/>
              <w:t xml:space="preserve">Maximum 3 Pa</w:t>
            </w:r>
            <w:r>
              <w:rPr/>
              <w:t xml:space="preserve">∙</w:t>
            </w:r>
            <w:r>
              <w:rPr/>
              <w:t xml:space="preserve">s</w:t>
            </w:r>
            <w:r>
              <w:rPr>
                <w:vertAlign w:val="superscript"/>
              </w:rPr>
              <w:t xml:space="preserve">(a)</w:t>
            </w:r>
          </w:p>
        </w:tc>
      </w:tr>
      <w:tr>
        <w:trPr>
          <w:trHeight w:val="592" w:hRule="atLeast"/>
          <w:tblHeader/>
          <w:jc w:val="center"/>
        </w:trPr>
        <w:tc>
          <w:tcPr>
            <w:tcW w:type="pct" w:w="1445"/>
            <w:vMerge w:val="restart"/>
            <w:tcBorders/>
            <w:vAlign w:val="center"/>
          </w:tcPr>
          <w:p>
            <w:pPr>
              <w:pStyle w:val="BodyText"/>
              <w:spacing/>
              <w:jc w:val="center"/>
              <w:rPr/>
            </w:pPr>
            <w:r>
              <w:rPr/>
              <w:t xml:space="preserve">Dynamic Shear</w:t>
            </w:r>
          </w:p>
          <w:p>
            <w:pPr>
              <w:pStyle w:val="BodyText"/>
              <w:spacing/>
              <w:jc w:val="center"/>
              <w:rPr/>
            </w:pPr>
            <w:r>
              <w:rPr/>
              <w:t xml:space="preserve">Rheometer</w:t>
            </w:r>
            <w:r>
              <w:rPr/>
              <w:t xml:space="preserve"> </w:t>
            </w:r>
            <w:r>
              <w:rPr>
                <w:vertAlign w:val="superscript"/>
              </w:rPr>
              <w:t xml:space="preserve">(b)</w:t>
            </w:r>
            <w:r>
              <w:rPr/>
              <w:t xml:space="preserve">, AASHTO T</w:t>
            </w:r>
            <w:r>
              <w:rPr/>
              <w:t xml:space="preserve"> </w:t>
            </w:r>
            <w:r>
              <w:rPr/>
              <w:t xml:space="preserve">315-12</w:t>
            </w:r>
          </w:p>
        </w:tc>
        <w:tc>
          <w:tcPr>
            <w:tcW w:type="pct" w:w="2174"/>
            <w:tcBorders/>
            <w:vAlign w:val="center"/>
          </w:tcPr>
          <w:p>
            <w:pPr>
              <w:pStyle w:val="BodyText"/>
              <w:spacing/>
              <w:jc w:val="center"/>
              <w:rPr/>
            </w:pPr>
            <w:r>
              <w:rPr/>
              <w:t xml:space="preserve">G</w:t>
            </w:r>
            <w:r>
              <w:rPr>
                <w:vertAlign w:val="superscript"/>
              </w:rPr>
              <w:t xml:space="preserve">*</w:t>
            </w:r>
            <w:r>
              <w:rPr/>
              <w:t xml:space="preserve">/sin </w:t>
            </w:r>
            <w:r>
              <w:rPr>
                <w:rFonts w:ascii="(" w:hAnsi="(" w:eastAsia="(" w:cs="("/>
              </w:rPr>
              <w:t xml:space="preserve">δ</w:t>
            </w:r>
          </w:p>
        </w:tc>
        <w:tc>
          <w:tcPr>
            <w:tcW w:type="pct" w:w="1381"/>
            <w:tcBorders/>
            <w:vAlign w:val="center"/>
          </w:tcPr>
          <w:p>
            <w:pPr>
              <w:pStyle w:val="BodyText"/>
              <w:spacing/>
              <w:jc w:val="center"/>
              <w:rPr/>
            </w:pPr>
            <w:r>
              <w:rPr/>
              <w:t xml:space="preserve">Minimum 1.00 kPa</w:t>
            </w:r>
          </w:p>
        </w:tc>
      </w:tr>
      <w:tr>
        <w:trPr>
          <w:tblHeader/>
          <w:jc w:val="center"/>
        </w:trPr>
        <w:tc>
          <w:tcPr>
            <w:tcW w:type="pct" w:w="1445"/>
            <w:vMerge w:val="continue"/>
            <w:tcBorders/>
            <w:vAlign w:val="center"/>
          </w:tcPr>
          <w:p>
            <w:pPr>
              <w:pStyle w:val="BodyText"/>
              <w:spacing/>
              <w:jc w:val="center"/>
              <w:rPr/>
            </w:pPr>
          </w:p>
        </w:tc>
        <w:tc>
          <w:tcPr>
            <w:tcW w:type="pct" w:w="2174"/>
            <w:tcBorders/>
            <w:vAlign w:val="center"/>
          </w:tcPr>
          <w:p>
            <w:pPr>
              <w:pStyle w:val="BodyText"/>
              <w:spacing/>
              <w:jc w:val="center"/>
              <w:rPr>
                <w:vertAlign w:val="superscript"/>
              </w:rPr>
            </w:pPr>
            <w:r>
              <w:rPr/>
              <w:t xml:space="preserve">Phase Angle, δ</w:t>
            </w:r>
            <w:r>
              <w:rPr>
                <w:vertAlign w:val="superscript"/>
              </w:rPr>
              <w:t xml:space="preserve">(</w:t>
            </w:r>
            <w:r>
              <w:rPr>
                <w:vertAlign w:val="superscript"/>
              </w:rPr>
              <w:t xml:space="preserve">c</w:t>
            </w:r>
            <w:r>
              <w:rPr>
                <w:vertAlign w:val="superscript"/>
              </w:rPr>
              <w:t xml:space="preserve">)</w:t>
            </w:r>
          </w:p>
          <w:p>
            <w:pPr>
              <w:pStyle w:val="BodyText"/>
              <w:spacing/>
              <w:jc w:val="center"/>
              <w:rPr/>
            </w:pPr>
            <w:r>
              <w:rPr/>
              <w:t xml:space="preserve">PG</w:t>
            </w:r>
            <w:r>
              <w:rPr>
                <w:rFonts w:hint="eastAsia"/>
              </w:rPr>
              <w:t xml:space="preserve"> </w:t>
            </w:r>
            <w:r>
              <w:rPr/>
              <w:t xml:space="preserve">76-22 (PMA) and PG</w:t>
            </w:r>
            <w:r>
              <w:rPr>
                <w:rFonts w:hint="eastAsia"/>
              </w:rPr>
              <w:t xml:space="preserve"> </w:t>
            </w:r>
            <w:r>
              <w:rPr/>
              <w:t xml:space="preserve">76-22 (ARB)</w:t>
            </w:r>
            <w:r>
              <w:rPr>
                <w:vertAlign w:val="superscript"/>
              </w:rPr>
              <w:t xml:space="preserve">(</w:t>
            </w:r>
            <w:r>
              <w:rPr>
                <w:vertAlign w:val="superscript"/>
              </w:rPr>
              <w:t xml:space="preserve">d</w:t>
            </w:r>
            <w:r>
              <w:rPr>
                <w:vertAlign w:val="superscript"/>
              </w:rPr>
              <w:t xml:space="preserve">)</w:t>
            </w:r>
          </w:p>
          <w:p>
            <w:pPr>
              <w:pStyle w:val="BodyText"/>
              <w:spacing/>
              <w:jc w:val="center"/>
              <w:rPr/>
            </w:pPr>
            <w:r>
              <w:rPr/>
              <w:t xml:space="preserve">PG</w:t>
            </w:r>
            <w:r>
              <w:rPr>
                <w:rFonts w:hint="eastAsia"/>
              </w:rPr>
              <w:t xml:space="preserve"> </w:t>
            </w:r>
            <w:r>
              <w:rPr/>
              <w:t xml:space="preserve">82-22 (PMA)</w:t>
            </w:r>
          </w:p>
        </w:tc>
        <w:tc>
          <w:tcPr>
            <w:tcW w:type="pct" w:w="1381"/>
            <w:tcBorders/>
            <w:vAlign w:val="center"/>
          </w:tcPr>
          <w:p>
            <w:pPr>
              <w:pStyle w:val="BodyText"/>
              <w:spacing/>
              <w:jc w:val="center"/>
              <w:rPr/>
            </w:pPr>
          </w:p>
          <w:p>
            <w:pPr>
              <w:pStyle w:val="BodyText"/>
              <w:spacing/>
              <w:jc w:val="center"/>
              <w:rPr/>
            </w:pPr>
            <w:r>
              <w:rPr/>
              <w:t xml:space="preserve">Maximum 75</w:t>
            </w:r>
            <w:r>
              <w:rPr>
                <w:rFonts w:hint="eastAsia"/>
              </w:rPr>
              <w:t xml:space="preserve"> </w:t>
            </w:r>
            <w:r>
              <w:rPr/>
              <w:t xml:space="preserve">degrees</w:t>
            </w:r>
          </w:p>
          <w:p>
            <w:pPr>
              <w:pStyle w:val="BodyText"/>
              <w:spacing/>
              <w:jc w:val="center"/>
              <w:rPr/>
            </w:pPr>
            <w:r>
              <w:rPr/>
              <w:t xml:space="preserve">Maximum 65</w:t>
            </w:r>
            <w:r>
              <w:rPr>
                <w:rFonts w:hint="eastAsia"/>
              </w:rPr>
              <w:t xml:space="preserve"> </w:t>
            </w:r>
            <w:r>
              <w:rPr/>
              <w:t xml:space="preserve">degrees</w:t>
            </w:r>
          </w:p>
        </w:tc>
      </w:tr>
      <w:tr>
        <w:trPr>
          <w:tblHeader/>
          <w:jc w:val="center"/>
        </w:trPr>
        <w:tc>
          <w:tcPr>
            <w:tcW w:type="pct" w:w="1445"/>
            <w:tcBorders/>
            <w:vAlign w:val="center"/>
          </w:tcPr>
          <w:p>
            <w:pPr>
              <w:pStyle w:val="BodyText"/>
              <w:spacing/>
              <w:jc w:val="center"/>
              <w:rPr/>
            </w:pPr>
            <w:r>
              <w:rPr/>
              <w:t xml:space="preserve">Separation Test, </w:t>
            </w:r>
          </w:p>
          <w:p>
            <w:pPr>
              <w:pStyle w:val="BodyText"/>
              <w:spacing/>
              <w:jc w:val="center"/>
              <w:rPr/>
            </w:pPr>
            <w:r>
              <w:rPr/>
              <w:t xml:space="preserve">ASTM</w:t>
            </w:r>
            <w:r>
              <w:rPr/>
              <w:t xml:space="preserve"> </w:t>
            </w:r>
            <w:r>
              <w:rPr/>
              <w:t xml:space="preserve">D</w:t>
            </w:r>
            <w:r>
              <w:rPr/>
              <w:t xml:space="preserve"> </w:t>
            </w:r>
            <w:r>
              <w:rPr/>
              <w:t xml:space="preserve">7173-</w:t>
            </w:r>
            <w:r>
              <w:rPr/>
              <w:t xml:space="preserve">14 </w:t>
            </w:r>
            <w:r>
              <w:rPr/>
              <w:t xml:space="preserve">and </w:t>
            </w:r>
          </w:p>
          <w:p>
            <w:pPr>
              <w:pStyle w:val="BodyText"/>
              <w:spacing/>
              <w:jc w:val="center"/>
              <w:rPr/>
            </w:pPr>
            <w:r>
              <w:rPr/>
              <w:t xml:space="preserve">Softening Point,</w:t>
            </w:r>
          </w:p>
          <w:p>
            <w:pPr>
              <w:pStyle w:val="BodyText"/>
              <w:spacing/>
              <w:jc w:val="center"/>
              <w:rPr/>
            </w:pPr>
            <w:r>
              <w:rPr/>
              <w:t xml:space="preserve">AASHTO</w:t>
            </w:r>
            <w:r>
              <w:rPr/>
              <w:t xml:space="preserve"> </w:t>
            </w:r>
            <w:r>
              <w:rPr/>
              <w:t xml:space="preserve">T</w:t>
            </w:r>
            <w:r>
              <w:rPr/>
              <w:t xml:space="preserve"> </w:t>
            </w:r>
            <w:r>
              <w:rPr/>
              <w:t xml:space="preserve">53-</w:t>
            </w:r>
            <w:r>
              <w:rPr/>
              <w:t xml:space="preserve">09 (2013)</w:t>
            </w:r>
          </w:p>
        </w:tc>
        <w:tc>
          <w:tcPr>
            <w:tcW w:type="pct" w:w="2174"/>
            <w:tcBorders/>
            <w:vAlign w:val="center"/>
          </w:tcPr>
          <w:p>
            <w:pPr>
              <w:pStyle w:val="BodyText"/>
              <w:spacing/>
              <w:jc w:val="center"/>
              <w:rPr/>
            </w:pPr>
          </w:p>
          <w:p>
            <w:pPr>
              <w:pStyle w:val="BodyText"/>
              <w:spacing/>
              <w:jc w:val="center"/>
              <w:rPr/>
            </w:pPr>
            <w:r>
              <w:rPr/>
              <w:t xml:space="preserve">163</w:t>
            </w:r>
            <w:r>
              <w:rPr/>
              <w:t xml:space="preserve">±5°C</w:t>
            </w:r>
          </w:p>
          <w:p>
            <w:pPr>
              <w:pStyle w:val="BodyText"/>
              <w:spacing/>
              <w:jc w:val="center"/>
              <w:rPr/>
            </w:pPr>
          </w:p>
          <w:p>
            <w:pPr>
              <w:pStyle w:val="BodyText"/>
              <w:spacing/>
              <w:jc w:val="center"/>
              <w:rPr/>
            </w:pPr>
            <w:r>
              <w:rPr/>
              <w:t xml:space="preserve">48 hours</w:t>
            </w:r>
          </w:p>
        </w:tc>
        <w:tc>
          <w:tcPr>
            <w:tcW w:type="pct" w:w="1381"/>
            <w:tcBorders/>
            <w:vAlign w:val="center"/>
          </w:tcPr>
          <w:p>
            <w:pPr>
              <w:pStyle w:val="BodyText"/>
              <w:spacing/>
              <w:jc w:val="center"/>
              <w:rPr/>
            </w:pPr>
          </w:p>
          <w:p>
            <w:pPr>
              <w:pStyle w:val="BodyText"/>
              <w:spacing/>
              <w:jc w:val="center"/>
              <w:rPr/>
            </w:pPr>
          </w:p>
          <w:p>
            <w:pPr>
              <w:pStyle w:val="BodyText"/>
              <w:spacing/>
              <w:jc w:val="center"/>
              <w:rPr/>
            </w:pPr>
            <w:r>
              <w:rPr/>
              <w:t xml:space="preserve">Maximum 15°F </w:t>
            </w:r>
          </w:p>
          <w:p>
            <w:pPr>
              <w:pStyle w:val="BodyText"/>
              <w:spacing/>
              <w:jc w:val="center"/>
              <w:rPr/>
            </w:pPr>
            <w:r>
              <w:rPr/>
              <w:t xml:space="preserve">(PG 76-22 (ARB) only)</w:t>
            </w:r>
          </w:p>
        </w:tc>
      </w:tr>
      <w:tr>
        <w:trPr>
          <w:tblHeader/>
          <w:jc w:val="center"/>
        </w:trPr>
        <w:tc>
          <w:tcPr>
            <w:tcW w:type="pct" w:w="5000"/>
            <w:gridSpan w:val="3"/>
            <w:tcBorders/>
            <w:vAlign w:val="center"/>
          </w:tcPr>
          <w:p>
            <w:pPr>
              <w:pStyle w:val="BodyText"/>
              <w:spacing/>
              <w:jc w:val="center"/>
              <w:rPr/>
            </w:pPr>
            <w:r>
              <w:rPr/>
              <w:t xml:space="preserve">Rolling Thin Film Oven Test Residue (AASHTO T 240-09)</w:t>
            </w:r>
          </w:p>
        </w:tc>
      </w:tr>
      <w:tr>
        <w:trPr>
          <w:tblHeader/>
          <w:jc w:val="center"/>
        </w:trPr>
        <w:tc>
          <w:tcPr>
            <w:tcW w:type="pct" w:w="1445"/>
            <w:tcBorders/>
            <w:vAlign w:val="center"/>
          </w:tcPr>
          <w:p>
            <w:pPr>
              <w:pStyle w:val="BodyText"/>
              <w:spacing/>
              <w:jc w:val="center"/>
              <w:rPr/>
            </w:pPr>
            <w:r>
              <w:rPr/>
              <w:t xml:space="preserve">Rolling Thin Film Oven, AASHTO T</w:t>
            </w:r>
            <w:r>
              <w:rPr/>
              <w:t xml:space="preserve"> </w:t>
            </w:r>
            <w:r>
              <w:rPr/>
              <w:t xml:space="preserve">240-</w:t>
            </w:r>
            <w:r>
              <w:rPr/>
              <w:t xml:space="preserve">13</w:t>
            </w:r>
          </w:p>
        </w:tc>
        <w:tc>
          <w:tcPr>
            <w:tcW w:type="pct" w:w="2174"/>
            <w:tcBorders/>
            <w:vAlign w:val="center"/>
          </w:tcPr>
          <w:p>
            <w:pPr>
              <w:pStyle w:val="BodyText"/>
              <w:spacing/>
              <w:jc w:val="center"/>
              <w:rPr/>
            </w:pPr>
            <w:r>
              <w:rPr/>
              <w:t xml:space="preserve">Mass Change</w:t>
            </w:r>
            <w:r>
              <w:rPr/>
              <w:t xml:space="preserve"> </w:t>
            </w:r>
            <w:r>
              <w:rPr/>
              <w:t xml:space="preserve">%</w:t>
            </w:r>
          </w:p>
        </w:tc>
        <w:tc>
          <w:tcPr>
            <w:tcW w:type="pct" w:w="1381"/>
            <w:tcBorders/>
            <w:vAlign w:val="center"/>
          </w:tcPr>
          <w:p>
            <w:pPr>
              <w:pStyle w:val="BodyText"/>
              <w:spacing/>
              <w:jc w:val="center"/>
              <w:rPr/>
            </w:pPr>
            <w:r>
              <w:rPr/>
              <w:t xml:space="preserve">Maximum 1.00</w:t>
            </w:r>
          </w:p>
        </w:tc>
      </w:tr>
      <w:tr>
        <w:trPr>
          <w:tblHeader/>
          <w:jc w:val="center"/>
        </w:trPr>
        <w:tc>
          <w:tcPr>
            <w:tcW w:type="pct" w:w="1445"/>
            <w:tcBorders/>
            <w:vAlign w:val="center"/>
          </w:tcPr>
          <w:p>
            <w:pPr>
              <w:pStyle w:val="BodyText"/>
              <w:spacing/>
              <w:jc w:val="center"/>
              <w:rPr/>
            </w:pPr>
            <w:r>
              <w:rPr/>
              <w:t xml:space="preserve"> Multiple Stress Creep Recovery, J</w:t>
            </w:r>
            <w:r>
              <w:rPr>
                <w:vertAlign w:val="subscript"/>
              </w:rPr>
              <w:t xml:space="preserve">nr, 3.2</w:t>
            </w:r>
          </w:p>
          <w:p>
            <w:pPr>
              <w:pStyle w:val="BodyText"/>
              <w:spacing/>
              <w:jc w:val="center"/>
              <w:rPr/>
            </w:pPr>
            <w:r>
              <w:rPr/>
              <w:t xml:space="preserve">AASHTO M</w:t>
            </w:r>
            <w:r>
              <w:rPr/>
              <w:t xml:space="preserve"> </w:t>
            </w:r>
            <w:r>
              <w:rPr/>
              <w:t xml:space="preserve">3</w:t>
            </w:r>
            <w:r>
              <w:rPr/>
              <w:t xml:space="preserve">3</w:t>
            </w:r>
            <w:r>
              <w:rPr/>
              <w:t xml:space="preserve">2-14</w:t>
            </w:r>
          </w:p>
        </w:tc>
        <w:tc>
          <w:tcPr>
            <w:tcW w:type="pct" w:w="2174"/>
            <w:tcBorders/>
            <w:vAlign w:val="center"/>
          </w:tcPr>
          <w:p>
            <w:pPr>
              <w:pStyle w:val="BodyText"/>
              <w:spacing/>
              <w:jc w:val="center"/>
              <w:rPr>
                <w:rFonts w:ascii="(" w:hAnsi="(" w:eastAsia="(" w:cs="("/>
              </w:rPr>
            </w:pPr>
            <w:r>
              <w:rPr/>
              <w:t xml:space="preserve">Grade Temperature</w:t>
            </w:r>
          </w:p>
          <w:p>
            <w:pPr>
              <w:pStyle w:val="BodyText"/>
              <w:spacing/>
              <w:jc w:val="center"/>
              <w:rPr/>
            </w:pPr>
            <w:r>
              <w:rPr/>
              <w:t xml:space="preserve">(Unmodified binders only)</w:t>
            </w:r>
          </w:p>
        </w:tc>
        <w:tc>
          <w:tcPr>
            <w:tcW w:type="pct" w:w="1381"/>
            <w:tcBorders/>
            <w:vAlign w:val="center"/>
          </w:tcPr>
          <w:p>
            <w:pPr>
              <w:pStyle w:val="BodyText"/>
              <w:spacing/>
              <w:jc w:val="center"/>
              <w:rPr/>
            </w:pPr>
            <w:r>
              <w:rPr/>
              <w:t xml:space="preserve">”S” =  4.50kPa</w:t>
            </w:r>
            <w:r>
              <w:rPr>
                <w:vertAlign w:val="superscript"/>
              </w:rPr>
              <w:t xml:space="preserve">-1</w:t>
            </w:r>
            <w:r>
              <w:rPr/>
              <w:t xml:space="preserve"> max</w:t>
            </w:r>
          </w:p>
        </w:tc>
      </w:tr>
      <w:tr>
        <w:trPr>
          <w:tblHeader/>
          <w:jc w:val="center"/>
        </w:trPr>
        <w:tc>
          <w:tcPr>
            <w:tcW w:type="pct" w:w="1445"/>
            <w:tcBorders/>
            <w:vAlign w:val="center"/>
          </w:tcPr>
          <w:p>
            <w:pPr>
              <w:pStyle w:val="BodyText"/>
              <w:spacing/>
              <w:jc w:val="center"/>
              <w:rPr/>
            </w:pPr>
            <w:r>
              <w:rPr/>
              <w:t xml:space="preserve">Multiple Stress Creep Recovery, J</w:t>
            </w:r>
            <w:r>
              <w:rPr>
                <w:vertAlign w:val="subscript"/>
              </w:rPr>
              <w:t xml:space="preserve">nr, 3.2</w:t>
            </w:r>
            <w:r>
              <w:rPr>
                <w:vertAlign w:val="superscript"/>
              </w:rPr>
              <w:t xml:space="preserve">(</w:t>
            </w:r>
            <w:r>
              <w:rPr>
                <w:vertAlign w:val="superscript"/>
              </w:rPr>
              <w:t xml:space="preserve">d, e</w:t>
            </w:r>
            <w:r>
              <w:rPr>
                <w:vertAlign w:val="superscript"/>
              </w:rPr>
              <w:t xml:space="preserve">, f</w:t>
            </w:r>
            <w:r>
              <w:rPr>
                <w:vertAlign w:val="superscript"/>
              </w:rPr>
              <w:t xml:space="preserve">)</w:t>
            </w:r>
          </w:p>
          <w:p>
            <w:pPr>
              <w:pStyle w:val="BodyText"/>
              <w:spacing/>
              <w:jc w:val="center"/>
              <w:rPr/>
            </w:pPr>
            <w:r>
              <w:rPr/>
              <w:t xml:space="preserve">AASHTO</w:t>
            </w:r>
            <w:r>
              <w:rPr/>
              <w:t xml:space="preserve"> </w:t>
            </w:r>
            <w:r>
              <w:rPr/>
              <w:t xml:space="preserve">M</w:t>
            </w:r>
            <w:r>
              <w:rPr/>
              <w:t xml:space="preserve"> </w:t>
            </w:r>
            <w:r>
              <w:rPr/>
              <w:t xml:space="preserve">332-14</w:t>
            </w:r>
          </w:p>
        </w:tc>
        <w:tc>
          <w:tcPr>
            <w:tcW w:type="pct" w:w="2174"/>
            <w:tcBorders/>
            <w:vAlign w:val="center"/>
          </w:tcPr>
          <w:p>
            <w:pPr>
              <w:pStyle w:val="BodyText"/>
              <w:spacing/>
              <w:jc w:val="center"/>
              <w:rPr/>
            </w:pPr>
            <w:r>
              <w:rPr/>
              <w:t xml:space="preserve">67°C</w:t>
            </w:r>
          </w:p>
          <w:p>
            <w:pPr>
              <w:pStyle w:val="BodyText"/>
              <w:spacing/>
              <w:jc w:val="center"/>
              <w:rPr/>
            </w:pPr>
            <w:r>
              <w:rPr/>
              <w:t xml:space="preserve">(Modified binders only)</w:t>
            </w:r>
          </w:p>
        </w:tc>
        <w:tc>
          <w:tcPr>
            <w:tcW w:type="pct" w:w="1381"/>
            <w:tcBorders/>
            <w:vAlign w:val="center"/>
          </w:tcPr>
          <w:p>
            <w:pPr>
              <w:pStyle w:val="BodyText"/>
              <w:spacing/>
              <w:jc w:val="center"/>
              <w:rPr/>
            </w:pPr>
            <w:r>
              <w:rPr/>
              <w:t xml:space="preserve">“V” = 1.0 </w:t>
            </w:r>
            <w:r>
              <w:rPr/>
              <w:t xml:space="preserve">k</w:t>
            </w:r>
            <w:r>
              <w:rPr/>
              <w:t xml:space="preserve">Pa</w:t>
            </w:r>
            <w:r>
              <w:rPr>
                <w:vertAlign w:val="superscript"/>
              </w:rPr>
              <w:t xml:space="preserve">-1</w:t>
            </w:r>
            <w:r>
              <w:rPr/>
              <w:t xml:space="preserve"> max</w:t>
            </w:r>
          </w:p>
          <w:p>
            <w:pPr>
              <w:pStyle w:val="BodyText"/>
              <w:spacing/>
              <w:jc w:val="center"/>
              <w:rPr/>
            </w:pPr>
            <w:r>
              <w:rPr/>
              <w:t xml:space="preserve">“E” = 0.5 </w:t>
            </w:r>
            <w:r>
              <w:rPr/>
              <w:t xml:space="preserve">k</w:t>
            </w:r>
            <w:r>
              <w:rPr/>
              <w:t xml:space="preserve">Pa</w:t>
            </w:r>
            <w:r>
              <w:rPr>
                <w:vertAlign w:val="superscript"/>
              </w:rPr>
              <w:t xml:space="preserve">-1</w:t>
            </w:r>
            <w:r>
              <w:rPr/>
              <w:t xml:space="preserve"> max</w:t>
            </w:r>
          </w:p>
          <w:p>
            <w:pPr>
              <w:pStyle w:val="BodyText"/>
              <w:spacing/>
              <w:jc w:val="center"/>
              <w:rPr/>
            </w:pPr>
            <w:r>
              <w:rPr/>
              <w:t xml:space="preserve">Maximum J</w:t>
            </w:r>
            <w:r>
              <w:rPr>
                <w:vertAlign w:val="subscript"/>
              </w:rPr>
              <w:t xml:space="preserve">nr,diff</w:t>
            </w:r>
            <w:r>
              <w:rPr/>
              <w:t xml:space="preserve"> = 75%</w:t>
            </w:r>
          </w:p>
        </w:tc>
      </w:tr>
      <w:tr>
        <w:trPr>
          <w:tblHeader/>
          <w:jc w:val="center"/>
        </w:trPr>
        <w:tc>
          <w:tcPr>
            <w:tcW w:type="pct" w:w="1445"/>
            <w:tcBorders/>
            <w:vAlign w:val="center"/>
          </w:tcPr>
          <w:p>
            <w:pPr>
              <w:pStyle w:val="BodyText"/>
              <w:spacing/>
              <w:jc w:val="center"/>
              <w:rPr/>
            </w:pPr>
            <w:r>
              <w:rPr/>
              <w:t xml:space="preserve">Multiple Stress Creep Recovery, %Recovery</w:t>
            </w:r>
            <w:r>
              <w:rPr>
                <w:vertAlign w:val="superscript"/>
              </w:rPr>
              <w:t xml:space="preserve">(</w:t>
            </w:r>
            <w:r>
              <w:rPr>
                <w:vertAlign w:val="superscript"/>
              </w:rPr>
              <w:t xml:space="preserve">d, e</w:t>
            </w:r>
            <w:r>
              <w:rPr>
                <w:vertAlign w:val="superscript"/>
              </w:rPr>
              <w:t xml:space="preserve">)</w:t>
            </w:r>
          </w:p>
          <w:p>
            <w:pPr>
              <w:pStyle w:val="BodyText"/>
              <w:spacing/>
              <w:jc w:val="center"/>
              <w:rPr/>
            </w:pPr>
            <w:r>
              <w:rPr/>
              <w:t xml:space="preserve">AASHTO</w:t>
            </w:r>
            <w:r>
              <w:rPr/>
              <w:t xml:space="preserve"> </w:t>
            </w:r>
            <w:r>
              <w:rPr/>
              <w:t xml:space="preserve">M</w:t>
            </w:r>
            <w:r>
              <w:rPr/>
              <w:t xml:space="preserve"> </w:t>
            </w:r>
            <w:r>
              <w:rPr/>
              <w:t xml:space="preserve">332</w:t>
            </w:r>
            <w:r>
              <w:rPr/>
              <w:t xml:space="preserve">-14</w:t>
            </w:r>
          </w:p>
        </w:tc>
        <w:tc>
          <w:tcPr>
            <w:tcW w:type="pct" w:w="2174"/>
            <w:tcBorders/>
            <w:vAlign w:val="center"/>
          </w:tcPr>
          <w:p>
            <w:pPr>
              <w:pStyle w:val="BodyText"/>
              <w:spacing/>
              <w:jc w:val="center"/>
              <w:rPr/>
            </w:pPr>
            <w:r>
              <w:rPr/>
              <w:t xml:space="preserve">67°C</w:t>
            </w:r>
          </w:p>
          <w:p>
            <w:pPr>
              <w:pStyle w:val="BodyText"/>
              <w:spacing/>
              <w:jc w:val="center"/>
              <w:rPr/>
            </w:pPr>
            <w:r>
              <w:rPr/>
              <w:t xml:space="preserve">(Modified binders only)</w:t>
            </w:r>
          </w:p>
        </w:tc>
        <w:tc>
          <w:tcPr>
            <w:tcW w:type="pct" w:w="1381"/>
            <w:tcBorders/>
            <w:vAlign w:val="center"/>
          </w:tcPr>
          <w:p>
            <w:pPr>
              <w:pStyle w:val="BodyText"/>
              <w:spacing/>
              <w:jc w:val="center"/>
              <w:rPr/>
            </w:pPr>
            <w:r>
              <w:rPr/>
              <w:t xml:space="preserve">%R</w:t>
            </w:r>
            <w:r>
              <w:rPr>
                <w:vertAlign w:val="subscript"/>
              </w:rPr>
              <w:t xml:space="preserve">3.2</w:t>
            </w:r>
            <w:r>
              <w:rPr/>
              <w:t xml:space="preserve"> </w:t>
            </w:r>
            <w:r>
              <w:rPr/>
              <w:t xml:space="preserve">≥</w:t>
            </w:r>
            <w:r>
              <w:rPr/>
              <w:t xml:space="preserve"> 29.37</w:t>
            </w:r>
          </w:p>
          <w:p>
            <w:pPr>
              <w:pStyle w:val="BodyText"/>
              <w:spacing/>
              <w:jc w:val="center"/>
              <w:rPr/>
            </w:pPr>
            <w:r>
              <w:rPr/>
              <w:t xml:space="preserve">(J</w:t>
            </w:r>
            <w:r>
              <w:rPr>
                <w:vertAlign w:val="subscript"/>
              </w:rPr>
              <w:t xml:space="preserve">nr, 3.2</w:t>
            </w:r>
            <w:r>
              <w:rPr/>
              <w:t xml:space="preserve">)</w:t>
            </w:r>
            <w:r>
              <w:rPr>
                <w:vertAlign w:val="superscript"/>
              </w:rPr>
              <w:t xml:space="preserve">-0.2633</w:t>
            </w:r>
          </w:p>
          <w:p>
            <w:pPr>
              <w:pStyle w:val="BodyText"/>
              <w:spacing/>
              <w:jc w:val="center"/>
              <w:rPr/>
            </w:pPr>
          </w:p>
        </w:tc>
      </w:tr>
      <w:tr>
        <w:trPr>
          <w:tblHeader/>
          <w:jc w:val="center"/>
        </w:trPr>
        <w:tc>
          <w:tcPr>
            <w:tcW w:type="pct" w:w="5000"/>
            <w:gridSpan w:val="3"/>
            <w:tcBorders/>
            <w:vAlign w:val="center"/>
          </w:tcPr>
          <w:p>
            <w:pPr>
              <w:pStyle w:val="BodyText"/>
              <w:spacing/>
              <w:jc w:val="center"/>
              <w:rPr/>
            </w:pPr>
            <w:r>
              <w:rPr/>
              <w:t xml:space="preserve">Pressure Aging Vessel Residue (AASHTO R 28-</w:t>
            </w:r>
            <w:r>
              <w:rPr/>
              <w:t xml:space="preserve">12</w:t>
            </w:r>
            <w:r>
              <w:rPr/>
              <w:t xml:space="preserve">)</w:t>
            </w:r>
          </w:p>
        </w:tc>
      </w:tr>
      <w:tr>
        <w:trPr>
          <w:tblHeader/>
          <w:jc w:val="center"/>
        </w:trPr>
        <w:tc>
          <w:tcPr>
            <w:tcW w:type="pct" w:w="1445"/>
            <w:tcBorders/>
            <w:vAlign w:val="center"/>
          </w:tcPr>
          <w:p>
            <w:pPr>
              <w:pStyle w:val="BodyText"/>
              <w:spacing/>
              <w:jc w:val="center"/>
              <w:rPr/>
            </w:pPr>
            <w:r>
              <w:rPr/>
              <w:t xml:space="preserve">Dynamic Shear Rheometer, AASHTO T</w:t>
            </w:r>
            <w:r>
              <w:rPr/>
              <w:t xml:space="preserve"> </w:t>
            </w:r>
            <w:r>
              <w:rPr/>
              <w:t xml:space="preserve">315-</w:t>
            </w:r>
            <w:r>
              <w:rPr/>
              <w:t xml:space="preserve">12</w:t>
            </w:r>
          </w:p>
        </w:tc>
        <w:tc>
          <w:tcPr>
            <w:tcW w:type="pct" w:w="2174"/>
            <w:tcBorders/>
            <w:vAlign w:val="center"/>
          </w:tcPr>
          <w:p>
            <w:pPr>
              <w:pStyle w:val="BodyText"/>
              <w:spacing/>
              <w:jc w:val="center"/>
              <w:rPr>
                <w:rFonts w:ascii="(" w:hAnsi="(" w:eastAsia="(" w:cs="("/>
              </w:rPr>
            </w:pPr>
            <w:r>
              <w:rPr/>
              <w:t xml:space="preserve">G</w:t>
            </w:r>
            <w:r>
              <w:rPr>
                <w:vertAlign w:val="superscript"/>
              </w:rPr>
              <w:t xml:space="preserve">*</w:t>
            </w:r>
            <w:r>
              <w:rPr/>
              <w:t xml:space="preserve">sin</w:t>
            </w:r>
            <w:r>
              <w:rPr/>
              <w:t xml:space="preserve"> </w:t>
            </w:r>
            <w:r>
              <w:rPr>
                <w:rFonts w:ascii="(" w:hAnsi="(" w:eastAsia="(" w:cs="("/>
              </w:rPr>
              <w:t xml:space="preserve">δ,</w:t>
            </w:r>
          </w:p>
          <w:p>
            <w:pPr>
              <w:pStyle w:val="BodyText"/>
              <w:spacing/>
              <w:jc w:val="center"/>
              <w:rPr/>
            </w:pPr>
            <w:r>
              <w:rPr>
                <w:rFonts w:ascii="(" w:hAnsi="(" w:eastAsia="(" w:cs="("/>
              </w:rPr>
              <w:t xml:space="preserve">10</w:t>
            </w:r>
            <w:r>
              <w:rPr>
                <w:rFonts w:ascii="(" w:hAnsi="(" w:eastAsia="(" w:cs="(" w:hint="eastAsia"/>
              </w:rPr>
              <w:t xml:space="preserve"> </w:t>
            </w:r>
            <w:r>
              <w:rPr>
                <w:rFonts w:ascii="(" w:hAnsi="(" w:eastAsia="(" w:cs="("/>
              </w:rPr>
              <w:t xml:space="preserve">rad/sec. </w:t>
            </w:r>
          </w:p>
        </w:tc>
        <w:tc>
          <w:tcPr>
            <w:tcW w:type="pct" w:w="1381"/>
            <w:tcBorders/>
            <w:vAlign w:val="center"/>
          </w:tcPr>
          <w:p>
            <w:pPr>
              <w:pStyle w:val="BodyText"/>
              <w:spacing/>
              <w:jc w:val="center"/>
              <w:rPr>
                <w:vertAlign w:val="superscript"/>
              </w:rPr>
            </w:pPr>
            <w:r>
              <w:rPr/>
              <w:t xml:space="preserve">Maximum 5000 kPa</w:t>
            </w:r>
            <w:r>
              <w:rPr>
                <w:vertAlign w:val="superscript"/>
              </w:rPr>
              <w:t xml:space="preserve">(</w:t>
            </w:r>
            <w:r>
              <w:rPr>
                <w:vertAlign w:val="superscript"/>
              </w:rPr>
              <w:t xml:space="preserve">f</w:t>
            </w:r>
            <w:r>
              <w:rPr>
                <w:vertAlign w:val="superscript"/>
              </w:rPr>
              <w:t xml:space="preserve">, g</w:t>
            </w:r>
          </w:p>
        </w:tc>
      </w:tr>
      <w:tr>
        <w:trPr>
          <w:tblHeader/>
          <w:jc w:val="center"/>
        </w:trPr>
        <w:tc>
          <w:tcPr>
            <w:tcW w:type="pct" w:w="1445"/>
            <w:tcBorders/>
            <w:vAlign w:val="center"/>
          </w:tcPr>
          <w:p>
            <w:pPr>
              <w:pStyle w:val="BodyText"/>
              <w:spacing/>
              <w:jc w:val="center"/>
              <w:rPr/>
            </w:pPr>
            <w:r>
              <w:rPr/>
              <w:t xml:space="preserve">Creep Stiffness, AASHTO T</w:t>
            </w:r>
            <w:r>
              <w:rPr/>
              <w:t xml:space="preserve"> </w:t>
            </w:r>
            <w:r>
              <w:rPr/>
              <w:t xml:space="preserve">313-</w:t>
            </w:r>
            <w:r>
              <w:rPr/>
              <w:t xml:space="preserve">12</w:t>
            </w:r>
          </w:p>
        </w:tc>
        <w:tc>
          <w:tcPr>
            <w:tcW w:type="pct" w:w="2174"/>
            <w:tcBorders/>
            <w:vAlign w:val="center"/>
          </w:tcPr>
          <w:p>
            <w:pPr>
              <w:pStyle w:val="BodyText"/>
              <w:spacing/>
              <w:jc w:val="center"/>
              <w:rPr/>
            </w:pPr>
            <w:r>
              <w:rPr/>
              <w:t xml:space="preserve">S (Stiffness), </w:t>
            </w:r>
            <w:r>
              <w:rPr>
                <w:rFonts w:ascii="(" w:hAnsi="(" w:eastAsia="(" w:cs="("/>
              </w:rPr>
              <w:t xml:space="preserve">@</w:t>
            </w:r>
            <w:r>
              <w:rPr>
                <w:rFonts w:ascii="(" w:hAnsi="(" w:eastAsia="(" w:cs="("/>
              </w:rPr>
              <w:t xml:space="preserve"> </w:t>
            </w:r>
            <w:r>
              <w:rPr>
                <w:rFonts w:ascii="(" w:hAnsi="(" w:eastAsia="(" w:cs="("/>
              </w:rPr>
              <w:t xml:space="preserve">60 sec.</w:t>
            </w:r>
          </w:p>
          <w:p>
            <w:pPr>
              <w:pStyle w:val="BodyText"/>
              <w:spacing/>
              <w:jc w:val="center"/>
              <w:rPr/>
            </w:pPr>
            <w:r>
              <w:rPr/>
              <w:t xml:space="preserve">m</w:t>
            </w:r>
            <w:r>
              <w:rPr/>
              <w:t xml:space="preserve">-value, </w:t>
            </w:r>
            <w:r>
              <w:rPr>
                <w:rFonts w:ascii="(" w:hAnsi="(" w:eastAsia="(" w:cs="("/>
              </w:rPr>
              <w:t xml:space="preserve">@</w:t>
            </w:r>
            <w:r>
              <w:rPr>
                <w:rFonts w:ascii="(" w:hAnsi="(" w:eastAsia="(" w:cs="("/>
              </w:rPr>
              <w:t xml:space="preserve"> </w:t>
            </w:r>
            <w:r>
              <w:rPr>
                <w:rFonts w:ascii="(" w:hAnsi="(" w:eastAsia="(" w:cs="("/>
              </w:rPr>
              <w:t xml:space="preserve">60</w:t>
            </w:r>
            <w:r>
              <w:rPr>
                <w:rFonts w:ascii="(" w:hAnsi="(" w:eastAsia="(" w:cs="(" w:hint="eastAsia"/>
              </w:rPr>
              <w:t xml:space="preserve"> </w:t>
            </w:r>
            <w:r>
              <w:rPr>
                <w:rFonts w:ascii="(" w:hAnsi="(" w:eastAsia="(" w:cs="("/>
              </w:rPr>
              <w:t xml:space="preserve">sec.</w:t>
            </w:r>
          </w:p>
        </w:tc>
        <w:tc>
          <w:tcPr>
            <w:tcW w:type="pct" w:w="1381"/>
            <w:tcBorders/>
            <w:vAlign w:val="center"/>
          </w:tcPr>
          <w:p>
            <w:pPr>
              <w:pStyle w:val="BodyText"/>
              <w:spacing/>
              <w:jc w:val="center"/>
              <w:rPr/>
            </w:pPr>
            <w:r>
              <w:rPr/>
              <w:t xml:space="preserve">Maximum 300 M</w:t>
            </w:r>
            <w:r>
              <w:rPr/>
              <w:t xml:space="preserve">P</w:t>
            </w:r>
            <w:r>
              <w:rPr/>
              <w:t xml:space="preserve">a</w:t>
            </w:r>
          </w:p>
          <w:p>
            <w:pPr>
              <w:pStyle w:val="BodyText"/>
              <w:spacing/>
              <w:jc w:val="center"/>
              <w:rPr/>
            </w:pPr>
            <w:r>
              <w:rPr/>
              <w:t xml:space="preserve">Minimum 0.300</w:t>
            </w:r>
          </w:p>
        </w:tc>
      </w:tr>
      <w:tr>
        <w:trPr>
          <w:tblHeader/>
          <w:jc w:val="center"/>
        </w:trPr>
        <w:tc>
          <w:tcPr>
            <w:tcW w:type="pct" w:w="5000"/>
            <w:gridSpan w:val="3"/>
            <w:tcBorders/>
            <w:vAlign w:val="center"/>
          </w:tcPr>
          <w:p>
            <w:pPr>
              <w:pStyle w:val="BodyText"/>
              <w:spacing/>
              <w:rPr>
                <w:sz w:val="18"/>
                <w:szCs w:val="18"/>
              </w:rPr>
            </w:pPr>
            <w:r>
              <w:rPr>
                <w:sz w:val="18"/>
                <w:szCs w:val="18"/>
              </w:rPr>
              <w:t xml:space="preserve">(a) Binders with values higher than 3</w:t>
            </w:r>
            <w:r>
              <w:rPr>
                <w:sz w:val="18"/>
                <w:szCs w:val="18"/>
              </w:rPr>
              <w:t xml:space="preserve"> </w:t>
            </w:r>
            <w:r>
              <w:rPr>
                <w:sz w:val="18"/>
                <w:szCs w:val="18"/>
              </w:rPr>
              <w:t xml:space="preserve">Pa∙s should be used with caution and only after consulting with the suppl</w:t>
            </w:r>
            <w:r>
              <w:rPr>
                <w:sz w:val="18"/>
                <w:szCs w:val="18"/>
              </w:rPr>
              <w:t xml:space="preserve">i</w:t>
            </w:r>
            <w:r>
              <w:rPr>
                <w:sz w:val="18"/>
                <w:szCs w:val="18"/>
              </w:rPr>
              <w:t xml:space="preserve">er as to any special handling procedures, including pumping capabilities.</w:t>
            </w:r>
          </w:p>
          <w:p>
            <w:pPr>
              <w:pStyle w:val="BodyText"/>
              <w:spacing/>
              <w:rPr>
                <w:sz w:val="18"/>
                <w:szCs w:val="18"/>
              </w:rPr>
            </w:pPr>
            <w:r>
              <w:rPr>
                <w:sz w:val="18"/>
                <w:szCs w:val="18"/>
              </w:rPr>
              <w:t xml:space="preserve">(b) Dynamic Shear Rheometer (AASHTO</w:t>
            </w:r>
            <w:r>
              <w:rPr>
                <w:sz w:val="18"/>
                <w:szCs w:val="18"/>
              </w:rPr>
              <w:t xml:space="preserve"> </w:t>
            </w:r>
            <w:r>
              <w:rPr>
                <w:sz w:val="18"/>
                <w:szCs w:val="18"/>
              </w:rPr>
              <w:t xml:space="preserve">T</w:t>
            </w:r>
            <w:r>
              <w:rPr>
                <w:sz w:val="18"/>
                <w:szCs w:val="18"/>
              </w:rPr>
              <w:t xml:space="preserve"> </w:t>
            </w:r>
            <w:r>
              <w:rPr>
                <w:sz w:val="18"/>
                <w:szCs w:val="18"/>
              </w:rPr>
              <w:t xml:space="preserve">315) shall be performed on original binders for the purposes of QC testing only.</w:t>
            </w:r>
          </w:p>
          <w:p>
            <w:pPr>
              <w:pStyle w:val="BodyText"/>
              <w:spacing/>
              <w:rPr>
                <w:sz w:val="18"/>
                <w:szCs w:val="18"/>
              </w:rPr>
            </w:pPr>
            <w:r>
              <w:rPr>
                <w:sz w:val="18"/>
                <w:szCs w:val="18"/>
              </w:rPr>
              <w:t xml:space="preserve">(</w:t>
            </w:r>
            <w:r>
              <w:rPr>
                <w:sz w:val="18"/>
                <w:szCs w:val="18"/>
              </w:rPr>
              <w:t xml:space="preserve">c</w:t>
            </w:r>
            <w:r>
              <w:rPr>
                <w:sz w:val="18"/>
                <w:szCs w:val="18"/>
              </w:rPr>
              <w:t xml:space="preserve">) The original binder phase angle (AASH</w:t>
            </w:r>
            <w:r>
              <w:rPr>
                <w:sz w:val="18"/>
                <w:szCs w:val="18"/>
              </w:rPr>
              <w:t xml:space="preserve">TO</w:t>
            </w:r>
            <w:r>
              <w:rPr>
                <w:sz w:val="18"/>
                <w:szCs w:val="18"/>
              </w:rPr>
              <w:t xml:space="preserve"> </w:t>
            </w:r>
            <w:r>
              <w:rPr>
                <w:sz w:val="18"/>
                <w:szCs w:val="18"/>
              </w:rPr>
              <w:t xml:space="preserve">T</w:t>
            </w:r>
            <w:r>
              <w:rPr>
                <w:sz w:val="18"/>
                <w:szCs w:val="18"/>
              </w:rPr>
              <w:t xml:space="preserve"> </w:t>
            </w:r>
            <w:r>
              <w:rPr>
                <w:sz w:val="18"/>
                <w:szCs w:val="18"/>
              </w:rPr>
              <w:t xml:space="preserve">315-12) shall be performed at grade temperature.</w:t>
            </w:r>
          </w:p>
          <w:p>
            <w:pPr>
              <w:pStyle w:val="BodyText"/>
              <w:spacing/>
              <w:rPr>
                <w:sz w:val="18"/>
                <w:szCs w:val="18"/>
              </w:rPr>
            </w:pPr>
            <w:r>
              <w:rPr>
                <w:sz w:val="18"/>
                <w:szCs w:val="18"/>
              </w:rPr>
              <w:t xml:space="preserve">(</w:t>
            </w:r>
            <w:r>
              <w:rPr>
                <w:sz w:val="18"/>
                <w:szCs w:val="18"/>
              </w:rPr>
              <w:t xml:space="preserve">d</w:t>
            </w:r>
            <w:r>
              <w:rPr>
                <w:sz w:val="18"/>
                <w:szCs w:val="18"/>
              </w:rPr>
              <w:t xml:space="preserve">) AASHTO</w:t>
            </w:r>
            <w:r>
              <w:rPr>
                <w:sz w:val="18"/>
                <w:szCs w:val="18"/>
              </w:rPr>
              <w:t xml:space="preserve"> </w:t>
            </w:r>
            <w:r>
              <w:rPr>
                <w:sz w:val="18"/>
                <w:szCs w:val="18"/>
              </w:rPr>
              <w:t xml:space="preserve">T</w:t>
            </w:r>
            <w:r>
              <w:rPr>
                <w:sz w:val="18"/>
                <w:szCs w:val="18"/>
              </w:rPr>
              <w:t xml:space="preserve"> </w:t>
            </w:r>
            <w:r>
              <w:rPr>
                <w:sz w:val="18"/>
                <w:szCs w:val="18"/>
              </w:rPr>
              <w:t xml:space="preserve">315-</w:t>
            </w:r>
            <w:r>
              <w:rPr>
                <w:sz w:val="18"/>
                <w:szCs w:val="18"/>
              </w:rPr>
              <w:t xml:space="preserve">12</w:t>
            </w:r>
            <w:r>
              <w:rPr>
                <w:sz w:val="18"/>
                <w:szCs w:val="18"/>
              </w:rPr>
              <w:t xml:space="preserve"> and AASHTO</w:t>
            </w:r>
            <w:r>
              <w:rPr>
                <w:sz w:val="18"/>
                <w:szCs w:val="18"/>
              </w:rPr>
              <w:t xml:space="preserve"> </w:t>
            </w:r>
            <w:r>
              <w:rPr>
                <w:sz w:val="18"/>
                <w:szCs w:val="18"/>
              </w:rPr>
              <w:t xml:space="preserve">T</w:t>
            </w:r>
            <w:r>
              <w:rPr>
                <w:sz w:val="18"/>
                <w:szCs w:val="18"/>
              </w:rPr>
              <w:t xml:space="preserve"> </w:t>
            </w:r>
            <w:r>
              <w:rPr>
                <w:sz w:val="18"/>
                <w:szCs w:val="18"/>
              </w:rPr>
              <w:t xml:space="preserve">350</w:t>
            </w:r>
            <w:r>
              <w:rPr>
                <w:sz w:val="18"/>
                <w:szCs w:val="18"/>
              </w:rPr>
              <w:t xml:space="preserve">-14</w:t>
            </w:r>
            <w:r>
              <w:rPr>
                <w:sz w:val="18"/>
                <w:szCs w:val="18"/>
              </w:rPr>
              <w:t xml:space="preserve"> will be performed at a 2</w:t>
            </w:r>
            <w:r>
              <w:rPr>
                <w:sz w:val="18"/>
                <w:szCs w:val="18"/>
              </w:rPr>
              <w:t xml:space="preserve"> </w:t>
            </w:r>
            <w:r>
              <w:rPr>
                <w:sz w:val="18"/>
                <w:szCs w:val="18"/>
              </w:rPr>
              <w:t xml:space="preserve">mm gap for PG</w:t>
            </w:r>
            <w:r>
              <w:rPr>
                <w:sz w:val="18"/>
                <w:szCs w:val="18"/>
              </w:rPr>
              <w:t xml:space="preserve"> </w:t>
            </w:r>
            <w:r>
              <w:rPr>
                <w:sz w:val="18"/>
                <w:szCs w:val="18"/>
              </w:rPr>
              <w:t xml:space="preserve">76-22 (ARB)</w:t>
            </w:r>
          </w:p>
          <w:p>
            <w:pPr>
              <w:pStyle w:val="BodyText"/>
              <w:spacing/>
              <w:rPr>
                <w:sz w:val="18"/>
                <w:szCs w:val="18"/>
              </w:rPr>
            </w:pPr>
            <w:r>
              <w:rPr>
                <w:sz w:val="18"/>
                <w:szCs w:val="18"/>
              </w:rPr>
              <w:t xml:space="preserve">(</w:t>
            </w:r>
            <w:r>
              <w:rPr>
                <w:sz w:val="18"/>
                <w:szCs w:val="18"/>
              </w:rPr>
              <w:t xml:space="preserve">e</w:t>
            </w:r>
            <w:r>
              <w:rPr>
                <w:sz w:val="18"/>
                <w:szCs w:val="18"/>
              </w:rPr>
              <w:t xml:space="preserve">) All binders with a high temperature designation &gt;67 will be tested at 67°C. PG</w:t>
            </w:r>
            <w:r>
              <w:rPr>
                <w:sz w:val="18"/>
                <w:szCs w:val="18"/>
              </w:rPr>
              <w:t xml:space="preserve"> </w:t>
            </w:r>
            <w:r>
              <w:rPr>
                <w:sz w:val="18"/>
                <w:szCs w:val="18"/>
              </w:rPr>
              <w:t xml:space="preserve">76-22 (PMA) and PG</w:t>
            </w:r>
            <w:r>
              <w:rPr>
                <w:sz w:val="18"/>
                <w:szCs w:val="18"/>
              </w:rPr>
              <w:t xml:space="preserve"> </w:t>
            </w:r>
            <w:r>
              <w:rPr>
                <w:sz w:val="18"/>
                <w:szCs w:val="18"/>
              </w:rPr>
              <w:t xml:space="preserve">76-22 (ARB) shall pass a “V” graded and PG</w:t>
            </w:r>
            <w:r>
              <w:rPr>
                <w:sz w:val="18"/>
                <w:szCs w:val="18"/>
              </w:rPr>
              <w:t xml:space="preserve"> </w:t>
            </w:r>
            <w:r>
              <w:rPr>
                <w:sz w:val="18"/>
                <w:szCs w:val="18"/>
              </w:rPr>
              <w:t xml:space="preserve">82-22 (PMA) shall pass an “E” grade per AASHTO</w:t>
            </w:r>
            <w:r>
              <w:rPr>
                <w:sz w:val="18"/>
                <w:szCs w:val="18"/>
              </w:rPr>
              <w:t xml:space="preserve"> </w:t>
            </w:r>
            <w:r>
              <w:rPr>
                <w:sz w:val="18"/>
                <w:szCs w:val="18"/>
              </w:rPr>
              <w:t xml:space="preserve">M</w:t>
            </w:r>
            <w:r>
              <w:rPr>
                <w:sz w:val="18"/>
                <w:szCs w:val="18"/>
              </w:rPr>
              <w:t xml:space="preserve"> </w:t>
            </w:r>
            <w:r>
              <w:rPr>
                <w:sz w:val="18"/>
                <w:szCs w:val="18"/>
              </w:rPr>
              <w:t xml:space="preserve">332</w:t>
            </w:r>
            <w:r>
              <w:rPr>
                <w:sz w:val="18"/>
                <w:szCs w:val="18"/>
              </w:rPr>
              <w:t xml:space="preserve">-14</w:t>
            </w:r>
            <w:r>
              <w:rPr>
                <w:sz w:val="18"/>
                <w:szCs w:val="18"/>
              </w:rPr>
              <w:t xml:space="preserve">.</w:t>
            </w:r>
          </w:p>
          <w:p>
            <w:pPr>
              <w:pStyle w:val="BodyText"/>
              <w:spacing/>
              <w:rPr>
                <w:sz w:val="18"/>
                <w:szCs w:val="18"/>
              </w:rPr>
            </w:pPr>
            <w:r>
              <w:rPr>
                <w:sz w:val="18"/>
                <w:szCs w:val="18"/>
              </w:rPr>
              <w:t xml:space="preserve">(</w:t>
            </w:r>
            <w:r>
              <w:rPr>
                <w:sz w:val="18"/>
                <w:szCs w:val="18"/>
              </w:rPr>
              <w:t xml:space="preserve">f</w:t>
            </w:r>
            <w:r>
              <w:rPr>
                <w:sz w:val="18"/>
                <w:szCs w:val="18"/>
              </w:rPr>
              <w:t xml:space="preserve">) </w:t>
            </w:r>
            <w:r>
              <w:rPr>
                <w:sz w:val="18"/>
                <w:szCs w:val="18"/>
              </w:rPr>
              <w:t xml:space="preserve">A maximum Jnr diff = 75% does not apply for any Jnr value &lt; 0.5 kPa-1.</w:t>
            </w:r>
          </w:p>
          <w:p>
            <w:pPr>
              <w:pStyle w:val="BodyText"/>
              <w:spacing/>
              <w:rPr/>
            </w:pPr>
            <w:r>
              <w:rPr>
                <w:sz w:val="18"/>
                <w:szCs w:val="18"/>
              </w:rPr>
              <w:t xml:space="preserve">(g) </w:t>
            </w:r>
            <w:r>
              <w:rPr>
                <w:sz w:val="18"/>
                <w:szCs w:val="18"/>
              </w:rPr>
              <w:t xml:space="preserve">For all PG grades of a PG</w:t>
            </w:r>
            <w:r>
              <w:rPr>
                <w:sz w:val="18"/>
                <w:szCs w:val="18"/>
              </w:rPr>
              <w:t xml:space="preserve"> </w:t>
            </w:r>
            <w:r>
              <w:rPr>
                <w:sz w:val="18"/>
                <w:szCs w:val="18"/>
              </w:rPr>
              <w:t xml:space="preserve">67 or higher, perform the </w:t>
            </w:r>
            <w:r>
              <w:rPr>
                <w:sz w:val="18"/>
                <w:szCs w:val="18"/>
              </w:rPr>
              <w:t xml:space="preserve">PAV residue </w:t>
            </w:r>
            <w:r>
              <w:rPr>
                <w:sz w:val="18"/>
                <w:szCs w:val="18"/>
              </w:rPr>
              <w:t xml:space="preserve">testing </w:t>
            </w:r>
            <w:r>
              <w:rPr>
                <w:sz w:val="18"/>
                <w:szCs w:val="18"/>
              </w:rPr>
              <w:t xml:space="preserve">at 26.5°C with a maximum of 5000</w:t>
            </w:r>
            <w:r>
              <w:rPr>
                <w:sz w:val="18"/>
                <w:szCs w:val="18"/>
              </w:rPr>
              <w:t xml:space="preserve"> </w:t>
            </w:r>
            <w:r>
              <w:rPr>
                <w:sz w:val="18"/>
                <w:szCs w:val="18"/>
              </w:rPr>
              <w:t xml:space="preserve">kPa</w:t>
            </w:r>
            <w:r>
              <w:rPr>
                <w:sz w:val="18"/>
                <w:szCs w:val="18"/>
              </w:rPr>
              <w:t xml:space="preserve">.</w:t>
            </w:r>
          </w:p>
        </w:tc>
      </w:tr>
    </w:tbl>
    <w:p>
      <w:pPr>
        <w:pStyle w:val="BodyText"/>
        <w:spacing/>
        <w:rPr/>
      </w:pPr>
    </w:p>
    <w:p>
      <w:pPr>
        <w:pStyle w:val="Article"/>
        <w:spacing/>
        <w:rPr/>
      </w:pPr>
      <w:r>
        <w:rPr/>
        <w:t xml:space="preserve">916-</w:t>
      </w:r>
      <w:r>
        <w:rPr/>
        <w:t xml:space="preserve">3 </w:t>
      </w:r>
      <w:r>
        <w:rPr/>
        <w:t xml:space="preserve">Asphalt</w:t>
      </w:r>
      <w:r>
        <w:rPr/>
        <w:t xml:space="preserve"> Emulsions</w:t>
      </w:r>
      <w:r>
        <w:rPr/>
        <w:t xml:space="preserve">.</w:t>
      </w:r>
    </w:p>
    <w:p>
      <w:pPr>
        <w:pStyle w:val="BodyText"/>
        <w:spacing/>
        <w:rPr/>
      </w:pPr>
      <w:r>
        <w:rPr/>
        <w:tab/>
        <w:t xml:space="preserve"/>
      </w:r>
      <w:r>
        <w:rPr>
          <w:b/>
        </w:rPr>
        <w:t xml:space="preserve">916-</w:t>
      </w:r>
      <w:r>
        <w:rPr>
          <w:b/>
        </w:rPr>
        <w:t xml:space="preserve">3</w:t>
      </w:r>
      <w:r>
        <w:rPr>
          <w:b/>
        </w:rPr>
        <w:t xml:space="preserve">.1 Compliance with Materials Manual: </w:t>
      </w:r>
      <w:r>
        <w:rPr/>
        <w:t xml:space="preserve">Producers of asphalt emulsions shall meet the requirements of Section 3.4, Volume II of the Department’s Material Manual, which may be viewed at the following URL:</w:t>
      </w:r>
      <w:r>
        <w:rPr/>
        <w:t xml:space="preserve"> </w:t>
      </w:r>
    </w:p>
    <w:p>
      <w:pPr>
        <w:pStyle w:val="BodyText"/>
        <w:spacing/>
        <w:rPr>
          <w:rStyle w:val="Hyperlink"/>
        </w:rPr>
      </w:pPr>
      <w:r>
        <w:rPr/>
        <w:fldChar w:fldCharType="begin"/>
      </w:r>
      <w:r>
        <w:rPr/>
        <w:instrText xml:space="preserve"> HYPERLINK "http://www.dot.state.fl.us/programmanagement/Implemented/URLinSpecs/files/Section3.4-100915.pdf" \o "http://www.dot.state.fl.us/programmanagement/Implemented/URLinSpecs/files/Section3.4-100915.pdf" </w:instrText>
      </w:r>
      <w:r>
        <w:rPr/>
        <w:fldChar w:fldCharType="separate"/>
      </w:r>
      <w:r>
        <w:rPr>
          <w:rStyle w:val="Hyperlink"/>
        </w:rPr>
        <w:t xml:space="preserve">http://www.dot.state.fl.us/programmanagement/Implemented/URLinSpecs/files/Section3.4-100915.pdf </w:t>
      </w:r>
    </w:p>
    <w:p>
      <w:pPr>
        <w:pStyle w:val="BodyText"/>
        <w:spacing/>
        <w:rPr/>
      </w:pPr>
      <w:r>
        <w:rPr/>
        <w:fldChar w:fldCharType="end"/>
      </w:r>
      <w:r>
        <w:rPr/>
        <w:tab/>
        <w:t xml:space="preserve"/>
      </w:r>
      <w:r>
        <w:rPr>
          <w:b/>
          <w:bCs/>
        </w:rPr>
        <w:t xml:space="preserve">916-</w:t>
      </w:r>
      <w:r>
        <w:rPr>
          <w:b/>
          <w:bCs/>
        </w:rPr>
        <w:t xml:space="preserve">3</w:t>
      </w:r>
      <w:r>
        <w:rPr>
          <w:b/>
          <w:bCs/>
        </w:rPr>
        <w:t xml:space="preserve">.</w:t>
      </w:r>
      <w:r>
        <w:rPr>
          <w:b/>
          <w:bCs/>
        </w:rPr>
        <w:t xml:space="preserve">2 </w:t>
      </w:r>
      <w:r>
        <w:rPr>
          <w:b/>
          <w:bCs/>
        </w:rPr>
        <w:t xml:space="preserve">Requirements:</w:t>
      </w:r>
      <w:r>
        <w:rPr/>
        <w:t xml:space="preserve"> </w:t>
      </w:r>
      <w:r>
        <w:rPr/>
        <w:t xml:space="preserve">Use a prime coat meeting the requirements of AASHTO M</w:t>
      </w:r>
      <w:r>
        <w:rPr/>
        <w:t xml:space="preserve"> </w:t>
      </w:r>
      <w:r>
        <w:rPr/>
        <w:t xml:space="preserve">140-</w:t>
      </w:r>
      <w:r>
        <w:rPr/>
        <w:t xml:space="preserve">13 </w:t>
      </w:r>
      <w:r>
        <w:rPr/>
        <w:t xml:space="preserve">for anionic emulsions, AASHTO M</w:t>
      </w:r>
      <w:r>
        <w:rPr/>
        <w:t xml:space="preserve"> </w:t>
      </w:r>
      <w:r>
        <w:rPr/>
        <w:t xml:space="preserve">208-01 (20</w:t>
      </w:r>
      <w:r>
        <w:rPr/>
        <w:t xml:space="preserve">13</w:t>
      </w:r>
      <w:r>
        <w:rPr/>
        <w:t xml:space="preserve">) or AASHTO M</w:t>
      </w:r>
      <w:r>
        <w:rPr/>
        <w:t xml:space="preserve"> </w:t>
      </w:r>
      <w:r>
        <w:rPr/>
        <w:t xml:space="preserve">316-13 for cationic emulsions, or as specified in the Producer’s QC Plan. For anionic emulsions, the cement mixing test will be waived. For tack products the minimum testing requirements shall include percent residue, naphtha content (as needed), one-day storage stability, sieve test, Saybolt Furol viscosity, original DSR, and solubility</w:t>
      </w:r>
      <w:r>
        <w:rPr/>
        <w:t xml:space="preserve"> (on an annual basis)</w:t>
      </w:r>
      <w:r>
        <w:rPr/>
        <w:t xml:space="preserve">. Residue testing shall be performed on residue obtained from distillation (AASHTO T</w:t>
      </w:r>
      <w:r>
        <w:rPr/>
        <w:t xml:space="preserve"> </w:t>
      </w:r>
      <w:r>
        <w:rPr/>
        <w:t xml:space="preserve">59-</w:t>
      </w:r>
      <w:r>
        <w:rPr/>
        <w:t xml:space="preserve">15</w:t>
      </w:r>
      <w:r>
        <w:rPr/>
        <w:t xml:space="preserve">) or low- temperature evaporation (AASHTO PP</w:t>
      </w:r>
      <w:r>
        <w:rPr/>
        <w:t xml:space="preserve"> </w:t>
      </w:r>
      <w:r>
        <w:rPr/>
        <w:t xml:space="preserve">72-11(2013) Method B).</w:t>
      </w:r>
    </w:p>
    <w:p>
      <w:pPr>
        <w:pStyle w:val="Article"/>
        <w:spacing/>
        <w:rPr/>
      </w:pPr>
      <w:r>
        <w:rPr/>
        <w:t xml:space="preserve">916-</w:t>
      </w:r>
      <w:r>
        <w:rPr/>
        <w:t xml:space="preserve">4 </w:t>
      </w:r>
      <w:r>
        <w:rPr/>
        <w:t xml:space="preserve">Liquid Anti-strip Agents.</w:t>
      </w:r>
    </w:p>
    <w:p>
      <w:pPr>
        <w:pStyle w:val="BodyText"/>
        <w:spacing/>
        <w:rPr/>
      </w:pPr>
      <w:r>
        <w:rPr/>
        <w:tab/>
        <w:t xml:space="preserve"/>
      </w:r>
      <w:r>
        <w:rPr>
          <w:b/>
        </w:rPr>
        <w:t xml:space="preserve">916-</w:t>
      </w:r>
      <w:r>
        <w:rPr>
          <w:b/>
        </w:rPr>
        <w:t xml:space="preserve">4</w:t>
      </w:r>
      <w:r>
        <w:rPr>
          <w:b/>
        </w:rPr>
        <w:t xml:space="preserve">.1 Requirements:</w:t>
      </w:r>
      <w:r>
        <w:rPr/>
        <w:t xml:space="preserve"> Liquid anti-strip agents shall be tested in accordance with FM </w:t>
      </w:r>
      <w:r>
        <w:rPr/>
        <w:t xml:space="preserve">1-T</w:t>
      </w:r>
      <w:r>
        <w:rPr/>
        <w:t xml:space="preserve"> </w:t>
      </w:r>
      <w:r>
        <w:rPr/>
        <w:t xml:space="preserve">283</w:t>
      </w:r>
      <w:r>
        <w:rPr/>
        <w:t xml:space="preserve">.</w:t>
      </w:r>
      <w:r>
        <w:rPr/>
        <w:t xml:space="preserve">  A minimum tensile strength ratio of 0.80 must be obtained when testing the liquid anti-strip with various aggregate sources and two nominal maximum aggregate size mixtures.</w:t>
      </w:r>
      <w:r>
        <w:rPr/>
        <w:t xml:space="preserve"> </w:t>
      </w:r>
      <w:r>
        <w:rPr/>
        <w:t xml:space="preserve"> Specific requirements are contained in the APL pro</w:t>
      </w:r>
      <w:r>
        <w:rPr/>
        <w:t xml:space="preserve">cess.</w:t>
      </w:r>
    </w:p>
    <w:p>
      <w:pPr>
        <w:pStyle w:val="BodyText"/>
        <w:spacing/>
        <w:rPr/>
      </w:pPr>
      <w:r>
        <w:rPr/>
        <w:tab/>
        <w:t xml:space="preserve"/>
      </w:r>
      <w:r>
        <w:rPr>
          <w:b/>
          <w:bCs/>
        </w:rPr>
        <w:t xml:space="preserve">916-</w:t>
      </w:r>
      <w:r>
        <w:rPr>
          <w:b/>
          <w:bCs/>
        </w:rPr>
        <w:t xml:space="preserve">4</w:t>
      </w:r>
      <w:r>
        <w:rPr>
          <w:b/>
          <w:bCs/>
        </w:rPr>
        <w:t xml:space="preserve">.</w:t>
      </w:r>
      <w:r>
        <w:rPr>
          <w:b/>
          <w:bCs/>
        </w:rPr>
        <w:t xml:space="preserve">2 </w:t>
      </w:r>
      <w:r>
        <w:rPr>
          <w:b/>
          <w:bCs/>
        </w:rPr>
        <w:t xml:space="preserve">Mix Design Verification: </w:t>
      </w:r>
      <w:r>
        <w:rPr/>
        <w:t xml:space="preserve">Inclusion of a liquid anti-strip agent on the </w:t>
      </w:r>
      <w:r>
        <w:rPr/>
        <w:t xml:space="preserve">A</w:t>
      </w:r>
      <w:r>
        <w:rPr/>
        <w:t xml:space="preserve">PL does not guarantee that the anti-strip will be approved for use in an asphalt mixture. </w:t>
      </w:r>
      <w:r>
        <w:rPr/>
        <w:t xml:space="preserve">Particular aggregate sources may require moisture susceptibility testing </w:t>
      </w:r>
      <w:r>
        <w:rPr/>
        <w:t xml:space="preserve">per FM</w:t>
      </w:r>
      <w:r>
        <w:rPr/>
        <w:t xml:space="preserve"> </w:t>
      </w:r>
      <w:r>
        <w:rPr/>
        <w:t xml:space="preserve">1-T</w:t>
      </w:r>
      <w:r>
        <w:rPr/>
        <w:t xml:space="preserve"> </w:t>
      </w:r>
      <w:r>
        <w:rPr/>
        <w:t xml:space="preserve">283 for each mix design.</w:t>
      </w:r>
      <w:r>
        <w:rPr/>
        <w:t xml:space="preserve"> </w:t>
      </w:r>
      <w:r>
        <w:rPr/>
        <w:t xml:space="preserve"> Results from this testing </w:t>
      </w:r>
      <w:r>
        <w:rPr/>
        <w:t xml:space="preserve">may meet the Department’s requirement of minimum tensile strength ratio of 0.80 or </w:t>
      </w:r>
      <w:r>
        <w:rPr/>
        <w:t xml:space="preserve">may indicate the need for a larger dosage rate of anti-strip agent (up to 0.75% maximum) or a different anti-strip agent to meet the specification requirements.</w:t>
      </w:r>
    </w:p>
    <w:p>
      <w:pPr>
        <w:widowControl w:val="true"/>
        <w:tabs>
          <w:tab w:val="left" w:pos="720"/>
        </w:tabs>
        <w:autoSpaceDE w:val="true"/>
        <w:autoSpaceDN w:val="true"/>
        <w:adjustRightInd w:val="true"/>
        <w:spacing/>
        <w:rPr>
          <w:szCs w:val="20"/>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
    <w:altName w:val="Times New Roman"/>
    <w:charset w:val="0"/>
    <w:family w:val="roman"/>
    <w:pitch w:val="default"/>
    <w:sig w:usb0="00000000" w:usb1="00000000" w:usb2="00000000" w:usb3="00000000" w:csb0="00000000"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C11E4"/>
    <w:lvl w:ilvl="0">
      <w:start w:val="1"/>
      <w:numFmt w:val="decimal"/>
      <w:suff w:val="tab"/>
      <w:lvlText w:val="%1."/>
      <w:pPr>
        <w:spacing/>
        <w:ind w:left="2610" w:hanging="360"/>
      </w:pPr>
      <w:rPr>
        <w:rFonts w:hint="default"/>
      </w:rPr>
    </w:lvl>
    <w:lvl w:ilvl="1">
      <w:start w:val="1"/>
      <w:numFmt w:val="lowerLetter"/>
      <w:suff w:val="tab"/>
      <w:lvlText w:val="%2."/>
      <w:pPr>
        <w:spacing/>
        <w:ind w:left="3330" w:hanging="360"/>
      </w:pPr>
      <w:rPr/>
    </w:lvl>
    <w:lvl w:ilvl="2">
      <w:start w:val="1"/>
      <w:numFmt w:val="lowerRoman"/>
      <w:suff w:val="tab"/>
      <w:lvlText w:val="%3."/>
      <w:lvlJc w:val="right"/>
      <w:pPr>
        <w:spacing/>
        <w:ind w:left="4050" w:hanging="180"/>
      </w:pPr>
      <w:rPr/>
    </w:lvl>
    <w:lvl w:ilvl="3">
      <w:start w:val="1"/>
      <w:numFmt w:val="decimal"/>
      <w:suff w:val="tab"/>
      <w:lvlText w:val="%4."/>
      <w:pPr>
        <w:spacing/>
        <w:ind w:left="4770" w:hanging="360"/>
      </w:pPr>
      <w:rPr/>
    </w:lvl>
    <w:lvl w:ilvl="4">
      <w:start w:val="1"/>
      <w:numFmt w:val="lowerLetter"/>
      <w:suff w:val="tab"/>
      <w:lvlText w:val="%5."/>
      <w:pPr>
        <w:spacing/>
        <w:ind w:left="5490" w:hanging="360"/>
      </w:pPr>
      <w:rPr/>
    </w:lvl>
    <w:lvl w:ilvl="5">
      <w:start w:val="1"/>
      <w:numFmt w:val="lowerRoman"/>
      <w:suff w:val="tab"/>
      <w:lvlText w:val="%6."/>
      <w:lvlJc w:val="right"/>
      <w:pPr>
        <w:spacing/>
        <w:ind w:left="6210" w:hanging="180"/>
      </w:pPr>
      <w:rPr/>
    </w:lvl>
    <w:lvl w:ilvl="6">
      <w:start w:val="1"/>
      <w:numFmt w:val="decimal"/>
      <w:suff w:val="tab"/>
      <w:lvlText w:val="%7."/>
      <w:pPr>
        <w:spacing/>
        <w:ind w:left="6930" w:hanging="360"/>
      </w:pPr>
      <w:rPr/>
    </w:lvl>
    <w:lvl w:ilvl="7">
      <w:start w:val="1"/>
      <w:numFmt w:val="lowerLetter"/>
      <w:suff w:val="tab"/>
      <w:lvlText w:val="%8."/>
      <w:pPr>
        <w:spacing/>
        <w:ind w:left="7650" w:hanging="360"/>
      </w:pPr>
      <w:rPr/>
    </w:lvl>
    <w:lvl w:ilvl="8">
      <w:start w:val="1"/>
      <w:numFmt w:val="lowerRoman"/>
      <w:suff w:val="tab"/>
      <w:lvlText w:val="%9."/>
      <w:lvlJc w:val="right"/>
      <w:pPr>
        <w:spacing/>
        <w:ind w:left="837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1647405"/>
    <w:lvl w:ilvl="0">
      <w:start w:val="1"/>
      <w:numFmt w:val="lowerLetter"/>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4">
    <w:nsid w:val="31AB1C43"/>
    <w:lvl w:ilvl="0">
      <w:start w:val="1"/>
      <w:numFmt w:val="lowerLetter"/>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3"/>
    </w:numPr>
    <w:pPr>
      <w:keepNext/>
      <w:numPr>
        <w:ilvl w:val="2"/>
        <w:numId w:val="3"/>
      </w:numPr>
      <w:spacing w:before="240" w:after="60"/>
      <w:outlineLvl w:val="2"/>
    </w:pPr>
    <w:rPr>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PayItem" w:customStyle="1">
    <w:name w:val="PayItem"/>
    <w:basedOn w:val="BodyText"/>
    <w:pPr>
      <w:tabs>
        <w:tab w:val="clear" w:pos="720"/>
      </w:tabs>
      <w:spacing/>
      <w:ind w:left="3600" w:right="10" w:hanging="2170"/>
    </w:pPr>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StyleBodyTextLeft1" w:customStyle="1">
    <w:name w:val="Style Body Text + Left: 1&quot;"/>
    <w:basedOn w:val="BodyText"/>
    <w:pPr>
      <w:widowControl w:val="false"/>
      <w:spacing/>
      <w:ind w:left="1440"/>
    </w:pPr>
    <w:rPr/>
  </w:style>
  <w:style w:type="paragraph" w:styleId="BodyTextFirst" w:customStyle="1">
    <w:name w:val="Body Text + First"/>
    <w:basedOn w:val="BodyText"/>
    <w:next w:val="StyleBodyText+Left:1&quot;"/>
    <w:pPr>
      <w:keepNext/>
      <w:keepLines/>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1513</Words>
  <Characters>8626</Characters>
  <Application>Microsoft Office Word</Application>
  <DocSecurity>0</DocSecurity>
  <Lines>71</Lines>
  <Paragraphs>20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916</dc:title>
  <dc:subject>Bituminous Materials</dc:subject>
  <dc:creator>Debbie Toole</dc:creator>
  <cp:keywords/>
  <dc:description/>
  <cp:lastModifiedBy>Abrahams, Hill</cp:lastModifiedBy>
  <cp:lastPrinted>2014-04-28T20:12:00Z</cp:lastPrinted>
  <cp:revision>2</cp:revision>
  <dcterms:created xsi:type="dcterms:W3CDTF">2019-04-09T23:20:00Z</dcterms:created>
  <dcterms:modified xsi:type="dcterms:W3CDTF">2019-04-09T23:20:00Z</dcterms:modified>
</cp:coreProperties>
</file>