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Heading2"/>
        <w:spacing/>
        <w:rPr/>
      </w:pPr>
      <w:bookmarkStart w:id="2" w:name="_GoBack"/>
      <w:bookmarkEnd w:id="2"/>
      <w:r>
        <w:rPr/>
        <w:t xml:space="preserve">ASPHALT CONCRETE FRICTION COURSES.</w:t>
      </w:r>
    </w:p>
    <w:p>
      <w:pPr>
        <w:pStyle w:val="Dates"/>
        <w:spacing/>
        <w:rPr/>
      </w:pPr>
      <w:r>
        <w:rPr/>
        <w:t xml:space="preserve">(REV 11-10-16)</w:t>
      </w:r>
      <w:r>
        <w:rPr/>
        <w:t xml:space="preserve"> (1-17)</w:t>
      </w:r>
    </w:p>
    <w:p>
      <w:pPr>
        <w:pStyle w:val="LeadInSentence"/>
        <w:spacing/>
        <w:rPr/>
      </w:pPr>
      <w:r>
        <w:rPr/>
        <w:t xml:space="preserve">S</w:t>
      </w:r>
      <w:r>
        <w:rPr/>
        <w:t xml:space="preserve">UBARTICLE</w:t>
      </w:r>
      <w:r>
        <w:rPr/>
        <w:t xml:space="preserve"> 337</w:t>
      </w:r>
      <w:r>
        <w:rPr/>
        <w:t xml:space="preserve">-3.2</w:t>
      </w:r>
      <w:r>
        <w:rPr/>
        <w:t xml:space="preserve"> is deleted and replaced by the following:</w:t>
      </w:r>
    </w:p>
    <w:p>
      <w:pPr>
        <w:pStyle w:val="BodyText"/>
        <w:spacing/>
        <w:rPr>
          <w:b/>
          <w:szCs w:val="24"/>
        </w:rPr>
      </w:pPr>
      <w:r>
        <w:rPr>
          <w:b/>
          <w:szCs w:val="24"/>
        </w:rPr>
        <w:tab/>
        <w:t xml:space="preserve"/>
      </w:r>
      <w:r>
        <w:rPr>
          <w:b/>
          <w:szCs w:val="24"/>
        </w:rPr>
        <w:t xml:space="preserve">337-3.2 Specific Component Requirements by Mix:</w:t>
      </w:r>
    </w:p>
    <w:p>
      <w:pPr>
        <w:pStyle w:val="BodyText"/>
        <w:spacing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/>
      </w:r>
      <w:r>
        <w:rPr>
          <w:b/>
          <w:bCs/>
          <w:szCs w:val="24"/>
        </w:rPr>
        <w:tab/>
        <w:t xml:space="preserve"/>
      </w:r>
      <w:r>
        <w:rPr>
          <w:b/>
          <w:bCs/>
          <w:szCs w:val="24"/>
        </w:rPr>
        <w:t xml:space="preserve">337-3.2.1 FC-5: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337-3.2.1.1 Aggregates:</w:t>
      </w:r>
      <w:r>
        <w:rPr>
          <w:szCs w:val="24"/>
        </w:rPr>
        <w:t xml:space="preserve"> Use an aggregate blend which consists of either 100% crushed granite</w:t>
      </w:r>
      <w:r>
        <w:rPr>
          <w:szCs w:val="24"/>
        </w:rPr>
        <w:t xml:space="preserve">,</w:t>
      </w:r>
      <w:r>
        <w:rPr>
          <w:szCs w:val="24"/>
        </w:rPr>
        <w:t xml:space="preserve"> 100% crushed Oolitic limestone</w:t>
      </w:r>
      <w:r>
        <w:rPr>
          <w:szCs w:val="24"/>
        </w:rPr>
        <w:t xml:space="preserve"> or 100% other crushed materials (as approved by the Engineer for friction courses per Rule</w:t>
      </w:r>
      <w:r>
        <w:rPr>
          <w:szCs w:val="24"/>
        </w:rPr>
        <w:t xml:space="preserve"> </w:t>
      </w:r>
      <w:r>
        <w:rPr>
          <w:szCs w:val="24"/>
        </w:rPr>
        <w:t xml:space="preserve">14-103.005, Florida Administrative Code)</w:t>
      </w:r>
      <w:r>
        <w:rPr>
          <w:szCs w:val="24"/>
        </w:rPr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Crushed limestone from the Oolitic formation may be used if it contains a minimum of 12% </w:t>
      </w:r>
      <w:r>
        <w:rPr>
          <w:szCs w:val="24"/>
        </w:rPr>
        <w:t xml:space="preserve">silica</w:t>
      </w:r>
      <w:r>
        <w:rPr>
          <w:szCs w:val="24"/>
        </w:rPr>
        <w:t xml:space="preserve"> material as determined by FM 5</w:t>
      </w:r>
      <w:r>
        <w:rPr>
          <w:szCs w:val="24"/>
        </w:rPr>
        <w:t xml:space="preserve">-</w:t>
      </w:r>
      <w:r>
        <w:rPr>
          <w:szCs w:val="24"/>
        </w:rPr>
        <w:t xml:space="preserve">510 and the Engineer grants approval of the source prior to its use.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 xml:space="preserve">A list of aggregates approved for use in friction course </w:t>
      </w:r>
      <w:r>
        <w:rPr>
          <w:szCs w:val="24"/>
        </w:rPr>
        <w:t xml:space="preserve">may be available on the Department’s website. The URL for obtaining this information, if available, is: </w:t>
      </w:r>
      <w:r>
        <w:rPr/>
        <w:fldChar w:fldCharType="begin"/>
      </w:r>
      <w:r>
        <w:rPr/>
        <w:instrText xml:space="preserve">HYPERLINK "http://www.fdot.gov/materials/mac/production/frictioncourse.pdf" </w:instrText>
      </w:r>
      <w:r>
        <w:rPr/>
        <w:fldChar w:fldCharType="separate"/>
      </w:r>
      <w:r>
        <w:rPr>
          <w:rStyle w:val="Hyperlink"/>
        </w:rPr>
        <w:t xml:space="preserve">http://www.fdot.gov/materials/mac/production/frictioncourse.pdf</w:t>
      </w:r>
      <w:r>
        <w:rPr/>
        <w:fldChar w:fldCharType="end"/>
      </w:r>
      <w:r>
        <w:rPr/>
        <w:t xml:space="preserve"> </w:t>
      </w:r>
      <w:r>
        <w:rPr/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337-3.2.1.2 Asphalt Binder:</w:t>
      </w:r>
      <w:r>
        <w:rPr>
          <w:szCs w:val="24"/>
        </w:rPr>
        <w:t xml:space="preserve"> Use an </w:t>
      </w:r>
      <w:r>
        <w:rPr>
          <w:szCs w:val="24"/>
        </w:rPr>
        <w:t xml:space="preserve">asphalt binder as</w:t>
      </w:r>
      <w:r>
        <w:rPr>
          <w:szCs w:val="24"/>
        </w:rPr>
        <w:t xml:space="preserve"> called for in t</w:t>
      </w:r>
      <w:r>
        <w:rPr>
          <w:szCs w:val="24"/>
        </w:rPr>
        <w:t xml:space="preserve">he Contract Documents</w:t>
      </w:r>
      <w:r>
        <w:rPr>
          <w:szCs w:val="24"/>
        </w:rPr>
        <w:t xml:space="preserve"> meeting the requirements of </w:t>
      </w:r>
      <w:r>
        <w:rPr>
          <w:szCs w:val="24"/>
        </w:rPr>
        <w:t xml:space="preserve">Section</w:t>
      </w:r>
      <w:r>
        <w:rPr>
          <w:szCs w:val="24"/>
        </w:rPr>
        <w:t xml:space="preserve"> </w:t>
      </w:r>
      <w:r>
        <w:rPr>
          <w:szCs w:val="24"/>
        </w:rPr>
        <w:t xml:space="preserve">916</w:t>
      </w:r>
      <w:r>
        <w:rPr>
          <w:szCs w:val="24"/>
        </w:rPr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337-3.2.1.3 Hydrated Lime:</w:t>
      </w:r>
      <w:r>
        <w:rPr>
          <w:szCs w:val="24"/>
        </w:rPr>
        <w:t xml:space="preserve"> Add the lime at a dosage rate of 1.0% by weight of the total dry aggregate to mixes containing granite.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szCs w:val="24"/>
        </w:rPr>
        <w:t xml:space="preserve">337-3.2.1.4 Liquid Anti-strip Additive: </w:t>
      </w:r>
      <w:r>
        <w:rPr>
          <w:szCs w:val="24"/>
        </w:rPr>
        <w:t xml:space="preserve">U</w:t>
      </w:r>
      <w:r>
        <w:rPr>
          <w:szCs w:val="24"/>
        </w:rPr>
        <w:t xml:space="preserve">s</w:t>
      </w:r>
      <w:r>
        <w:rPr>
          <w:szCs w:val="24"/>
        </w:rPr>
        <w:t xml:space="preserve">e a liquid anti-strip additive </w:t>
      </w:r>
      <w:r>
        <w:rPr>
          <w:szCs w:val="24"/>
        </w:rPr>
        <w:t xml:space="preserve">at a rate of 0.5% by weight of the asphalt binder</w:t>
      </w:r>
      <w:r>
        <w:rPr>
          <w:szCs w:val="24"/>
        </w:rPr>
        <w:t xml:space="preserve"> for mixtures containing limestone aggregate</w:t>
      </w:r>
      <w:r>
        <w:rPr>
          <w:szCs w:val="24"/>
        </w:rPr>
        <w:t xml:space="preserve">.</w:t>
      </w:r>
      <w:r>
        <w:rPr>
          <w:szCs w:val="24"/>
        </w:rPr>
        <w:t xml:space="preserve"> Other rates of anti-strip additive may be used upon approval of the Engineer.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337-3.2.1.</w:t>
      </w:r>
      <w:r>
        <w:rPr>
          <w:b/>
          <w:bCs/>
          <w:szCs w:val="24"/>
        </w:rPr>
        <w:t xml:space="preserve">5</w:t>
      </w:r>
      <w:r>
        <w:rPr>
          <w:b/>
          <w:bCs/>
          <w:szCs w:val="24"/>
        </w:rPr>
        <w:t xml:space="preserve"> Fiber Stabilizing Additive:</w:t>
      </w:r>
      <w:r>
        <w:rPr>
          <w:szCs w:val="24"/>
        </w:rPr>
        <w:t xml:space="preserve"> Add either mineral fibers at a dosage rate of 0.4% by weight of the total mix, or cellulose fibers at a dosage rate of 0.3% by weight of total mix.</w:t>
      </w:r>
    </w:p>
    <w:p>
      <w:pPr>
        <w:pStyle w:val="BodyText"/>
        <w:spacing/>
        <w:rPr>
          <w:b/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szCs w:val="24"/>
        </w:rPr>
        <w:t xml:space="preserve">337-3.2.2 FC-9.5 and FC-12.5: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337-3.2.2.1: Aggregates:</w:t>
      </w:r>
      <w:r>
        <w:rPr>
          <w:szCs w:val="24"/>
        </w:rPr>
        <w:t xml:space="preserve"> Use an aggregate blend that consists of crushed granite, crushed Oolitic limestone,</w:t>
      </w:r>
      <w:r>
        <w:rPr>
          <w:szCs w:val="24"/>
        </w:rPr>
        <w:t xml:space="preserve"> other crushed materials </w:t>
      </w:r>
      <w:r>
        <w:rPr>
          <w:szCs w:val="24"/>
        </w:rPr>
        <w:t xml:space="preserve">(</w:t>
      </w:r>
      <w:r>
        <w:rPr>
          <w:szCs w:val="24"/>
        </w:rPr>
        <w:t xml:space="preserve">as approved by the Engineer </w:t>
      </w:r>
      <w:r>
        <w:rPr>
          <w:szCs w:val="24"/>
        </w:rPr>
        <w:t xml:space="preserve">for friction courses </w:t>
      </w:r>
      <w:r>
        <w:rPr>
          <w:szCs w:val="24"/>
        </w:rPr>
        <w:t xml:space="preserve">per Rule</w:t>
      </w:r>
      <w:r>
        <w:rPr>
          <w:szCs w:val="24"/>
        </w:rPr>
        <w:t xml:space="preserve"> </w:t>
      </w:r>
      <w:r>
        <w:rPr>
          <w:szCs w:val="24"/>
        </w:rPr>
        <w:t xml:space="preserve">14-103.005, Florida Administrative Code</w:t>
      </w:r>
      <w:r>
        <w:rPr>
          <w:szCs w:val="24"/>
        </w:rPr>
        <w:t xml:space="preserve">), or a combination</w:t>
      </w:r>
      <w:r>
        <w:rPr>
          <w:szCs w:val="24"/>
        </w:rPr>
        <w:t xml:space="preserve"> of the above</w:t>
      </w:r>
      <w:r>
        <w:rPr>
          <w:szCs w:val="24"/>
        </w:rPr>
        <w:t xml:space="preserve">.</w:t>
      </w:r>
      <w:r>
        <w:rPr>
          <w:szCs w:val="24"/>
        </w:rPr>
        <w:t xml:space="preserve"> Crushed limestone from the Oolitic formation may be used if it contains a minimum of 12% </w:t>
      </w:r>
      <w:r>
        <w:rPr>
          <w:szCs w:val="24"/>
        </w:rPr>
        <w:t xml:space="preserve">silica</w:t>
      </w:r>
      <w:r>
        <w:rPr>
          <w:szCs w:val="24"/>
        </w:rPr>
        <w:t xml:space="preserve"> material as determined by FM 5</w:t>
      </w:r>
      <w:r>
        <w:rPr>
          <w:szCs w:val="24"/>
        </w:rPr>
        <w:t xml:space="preserve">-</w:t>
      </w:r>
      <w:r>
        <w:rPr>
          <w:szCs w:val="24"/>
        </w:rPr>
        <w:t xml:space="preserve">510 and the Engineer grants approval of the source prior to its use. As an exception, mixes that contain a minimum of 60% crushed granite may </w:t>
      </w:r>
      <w:r>
        <w:rPr>
          <w:szCs w:val="24"/>
        </w:rPr>
        <w:t xml:space="preserve">either </w:t>
      </w:r>
      <w:r>
        <w:rPr>
          <w:szCs w:val="24"/>
        </w:rPr>
        <w:t xml:space="preserve">contain</w:t>
      </w:r>
      <w:r>
        <w:rPr>
          <w:szCs w:val="24"/>
        </w:rPr>
        <w:t xml:space="preserve">: </w:t>
      </w:r>
      <w:r>
        <w:rPr>
          <w:szCs w:val="24"/>
        </w:rPr>
        <w:t xml:space="preserve">up to 40% fine aggregate from other sources</w:t>
      </w:r>
      <w:r>
        <w:rPr/>
        <w:t xml:space="preserve"> </w:t>
      </w:r>
      <w:r>
        <w:rPr>
          <w:szCs w:val="24"/>
        </w:rPr>
        <w:t xml:space="preserve">or</w:t>
      </w:r>
      <w:r>
        <w:rPr>
          <w:szCs w:val="24"/>
        </w:rPr>
        <w:t xml:space="preserve"> </w:t>
      </w:r>
      <w:r>
        <w:rPr>
          <w:szCs w:val="24"/>
        </w:rPr>
        <w:t xml:space="preserve">a combination of up to </w:t>
      </w:r>
      <w:r>
        <w:rPr>
          <w:szCs w:val="24"/>
        </w:rPr>
        <w:t xml:space="preserve">20</w:t>
      </w:r>
      <w:r>
        <w:rPr>
          <w:szCs w:val="24"/>
        </w:rPr>
        <w:t xml:space="preserve">% RAP and the remaining fine aggregate from other sources</w:t>
      </w:r>
      <w:r>
        <w:rPr>
          <w:szCs w:val="24"/>
        </w:rPr>
        <w:t xml:space="preserve">.</w:t>
      </w:r>
    </w:p>
    <w:p>
      <w:pPr>
        <w:widowControl w:val="true"/>
        <w:tabs>
          <w:tab w:val="left" w:pos="720"/>
        </w:tabs>
        <w:autoSpaceDE w:val="true"/>
        <w:autoSpaceDN w:val="true"/>
        <w:adjustRightInd w:val="true"/>
        <w:spacing/>
        <w:rPr>
          <w:szCs w:val="20"/>
        </w:rPr>
      </w:pP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ab/>
        <w:t xml:space="preserve"/>
      </w:r>
      <w:r>
        <w:rPr>
          <w:szCs w:val="20"/>
        </w:rPr>
        <w:t xml:space="preserve">A list of aggregates approved for use in friction course may be available on the Department’s website. The URL for obtaining this information, if available, is:</w:t>
      </w:r>
      <w:r>
        <w:rPr>
          <w:szCs w:val="20"/>
        </w:rPr>
        <w:t xml:space="preserve"> </w:t>
      </w:r>
      <w:r>
        <w:rPr/>
        <w:fldChar w:fldCharType="begin"/>
      </w:r>
      <w:r>
        <w:rPr/>
        <w:instrText xml:space="preserve">HYPERLINK "http://www.fdot.gov/materials/mac/production/frictioncourse.pdf" </w:instrText>
      </w:r>
      <w:r>
        <w:rPr/>
        <w:fldChar w:fldCharType="separate"/>
      </w:r>
      <w:r>
        <w:rPr>
          <w:rStyle w:val="Hyperlink"/>
          <w:szCs w:val="20"/>
        </w:rPr>
        <w:t xml:space="preserve">http://www.fdot.gov/materials/mac/production/frictioncourse.pdf</w:t>
      </w:r>
      <w:r>
        <w:rPr/>
        <w:fldChar w:fldCharType="end"/>
      </w:r>
      <w:r>
        <w:rPr>
          <w:szCs w:val="20"/>
        </w:rPr>
        <w:t xml:space="preserve"> </w:t>
      </w:r>
      <w:r>
        <w:rPr>
          <w:szCs w:val="20"/>
        </w:rPr>
        <w:t xml:space="preserve">.</w:t>
      </w:r>
    </w:p>
    <w:p>
      <w:pPr>
        <w:pStyle w:val="BodyText"/>
        <w:widowControl w:val="false"/>
        <w:spacing/>
        <w:rPr>
          <w:szCs w:val="24"/>
        </w:rPr>
      </w:pP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szCs w:val="24"/>
        </w:rPr>
        <w:tab/>
        <w:t xml:space="preserve"/>
      </w:r>
      <w:r>
        <w:rPr>
          <w:b/>
          <w:bCs/>
          <w:szCs w:val="24"/>
        </w:rPr>
        <w:t xml:space="preserve">337-3.2.2.2: Asphalt Binder: </w:t>
      </w:r>
      <w:r>
        <w:rPr>
          <w:szCs w:val="24"/>
        </w:rPr>
        <w:t xml:space="preserve">Use an </w:t>
      </w:r>
      <w:r>
        <w:rPr>
          <w:szCs w:val="24"/>
        </w:rPr>
        <w:t xml:space="preserve">asphalt binder as</w:t>
      </w:r>
      <w:r>
        <w:rPr>
          <w:szCs w:val="24"/>
        </w:rPr>
        <w:t xml:space="preserve"> called for in t</w:t>
      </w:r>
      <w:r>
        <w:rPr>
          <w:szCs w:val="24"/>
        </w:rPr>
        <w:t xml:space="preserve">he Contract Documents meeting the requirements of </w:t>
      </w:r>
      <w:r>
        <w:rPr>
          <w:szCs w:val="24"/>
        </w:rPr>
        <w:t xml:space="preserve">Section</w:t>
      </w:r>
      <w:r>
        <w:rPr>
          <w:szCs w:val="24"/>
        </w:rPr>
        <w:t xml:space="preserve"> </w:t>
      </w:r>
      <w:r>
        <w:rPr>
          <w:szCs w:val="24"/>
        </w:rPr>
        <w:t xml:space="preserve">916</w:t>
      </w:r>
      <w:r>
        <w:rPr>
          <w:szCs w:val="24"/>
        </w:rPr>
        <w:t xml:space="preserve">.</w:t>
      </w:r>
    </w:p>
    <w:p>
      <w:pPr>
        <w:pStyle w:val="BodyText"/>
        <w:spacing/>
        <w:rPr/>
      </w:pPr>
    </w:p>
    <w:p>
      <w:pPr>
        <w:pStyle w:val="BodyText"/>
        <w:spacing/>
        <w:rPr/>
      </w:pPr>
    </w:p>
    <w:sectPr>
      <w:type w:val="nextPage"/>
      <w:pgSz w:w="12240" w:h="15840"/>
      <w:pgMar w:top="1440" w:right="1440" w:bottom="1440" w:left="1440" w:header="720" w:footer="720" w:gutter="0"/>
      <w:pgBorders/>
      <w:pgNumType w:fmt="decimal"/>
      <w:cols w:num="1" w:equalWidth="1"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"/>
    <w:family w:val="roman"/>
    <w:pitch w:val="variable"/>
    <w:sig w:usb0="E0002EFF" w:usb1="C000785B" w:usb2="00000009" w:usb3="00000000" w:csb0="000001FF" w:csb1="00000000"/>
  </w:font>
  <w:font w:name="Symbol">
    <w:charset w:val="2"/>
    <w:family w:val="roman"/>
    <w:pitch w:val="variable"/>
    <w:sig w:usb0="00000000" w:usb1="10000000" w:usb2="00000000" w:usb3="00000000" w:csb0="80000000" w:csb1="00000000"/>
  </w:font>
  <w:font w:name="Courier New">
    <w:charset w:val="0"/>
    <w:family w:val="modern"/>
    <w:pitch w:val="fixed"/>
    <w:sig w:usb0="E0002EFF" w:usb1="C0007843" w:usb2="00000009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Goudy Old Style">
    <w:charset w:val="0"/>
    <w:family w:val="roman"/>
    <w:pitch w:val="variable"/>
    <w:sig w:usb0="00000003" w:usb1="00000000" w:usb2="00000000" w:usb3="00000000" w:csb0="00000001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Calibri">
    <w:charset w:val="0"/>
    <w:family w:val="swiss"/>
    <w:pitch w:val="variable"/>
    <w:sig w:usb0="E0002AFF" w:usb1="C000247B" w:usb2="00000009" w:usb3="00000000" w:csb0="000001FF" w:csb1="00000000"/>
  </w:font>
  <w:font w:name="Calibri Light">
    <w:charset w:val="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970AF9"/>
    <w:lvl w:ilvl="0">
      <w:start w:val="1"/>
      <w:numFmt w:val="decimal"/>
      <w:suff w:val="tab"/>
      <w:lvlText w:val="%1."/>
      <w:pPr>
        <w:tabs>
          <w:tab w:val="num" w:pos="36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2"/>
      <w:pPr>
        <w:spacing/>
        <w:ind w:left="0" w:firstLine="720"/>
      </w:pPr>
      <w:rPr>
        <w:rFonts w:hint="default"/>
      </w:rPr>
    </w:lvl>
    <w:lvl w:ilvl="2">
      <w:start w:val="6"/>
      <w:numFmt w:val="decimal"/>
      <w:suff w:val="space"/>
      <w:lvlText w:val="%3"/>
      <w:pPr>
        <w:spacing/>
        <w:ind w:left="0" w:firstLine="720"/>
      </w:pPr>
      <w:rPr>
        <w:rFonts w:hint="default"/>
      </w:rPr>
    </w:lvl>
    <w:lvl w:ilvl="3">
      <w:start w:val="1"/>
      <w:numFmt w:val="decimal"/>
      <w:suff w:val="tab"/>
      <w:lvlText w:val="(%4)"/>
      <w:pPr>
        <w:tabs>
          <w:tab w:val="num" w:pos="1440"/>
        </w:tabs>
        <w:spacing/>
        <w:ind w:left="1440" w:hanging="360"/>
      </w:pPr>
      <w:rPr>
        <w:rFonts w:hint="default"/>
      </w:rPr>
    </w:lvl>
    <w:lvl w:ilvl="4">
      <w:start w:val="1"/>
      <w:numFmt w:val="lowerLetter"/>
      <w:suff w:val="tab"/>
      <w:lvlText w:val="(%5)"/>
      <w:pPr>
        <w:tabs>
          <w:tab w:val="num" w:pos="1800"/>
        </w:tabs>
        <w:spacing/>
        <w:ind w:left="1800" w:hanging="360"/>
      </w:pPr>
      <w:rPr>
        <w:rFonts w:hint="default"/>
      </w:rPr>
    </w:lvl>
    <w:lvl w:ilvl="5">
      <w:start w:val="1"/>
      <w:numFmt w:val="lowerRoman"/>
      <w:suff w:val="tab"/>
      <w:lvlText w:val="(%6)"/>
      <w:pPr>
        <w:tabs>
          <w:tab w:val="num" w:pos="2160"/>
        </w:tabs>
        <w:spacing/>
        <w:ind w:left="2160" w:hanging="360"/>
      </w:pPr>
      <w:rPr>
        <w:rFonts w:hint="default"/>
      </w:rPr>
    </w:lvl>
    <w:lvl w:ilvl="6">
      <w:start w:val="1"/>
      <w:numFmt w:val="decimal"/>
      <w:suff w:val="tab"/>
      <w:lvlText w:val="%7."/>
      <w:pPr>
        <w:tabs>
          <w:tab w:val="num" w:pos="2520"/>
        </w:tabs>
        <w:spacing/>
        <w:ind w:left="2520" w:hanging="360"/>
      </w:pPr>
      <w:rPr>
        <w:rFonts w:hint="default"/>
      </w:rPr>
    </w:lvl>
    <w:lvl w:ilvl="7">
      <w:start w:val="1"/>
      <w:numFmt w:val="lowerLetter"/>
      <w:suff w:val="tab"/>
      <w:lvlText w:val="%8."/>
      <w:pPr>
        <w:tabs>
          <w:tab w:val="num" w:pos="2880"/>
        </w:tabs>
        <w:spacing/>
        <w:ind w:left="2880" w:hanging="360"/>
      </w:pPr>
      <w:rPr>
        <w:rFonts w:hint="default"/>
      </w:rPr>
    </w:lvl>
    <w:lvl w:ilvl="8">
      <w:start w:val="1"/>
      <w:numFmt w:val="lowerRoman"/>
      <w:suff w:val="tab"/>
      <w:lvlText w:val="%9."/>
      <w:pPr>
        <w:tabs>
          <w:tab w:val="num" w:pos="3240"/>
        </w:tabs>
        <w:spacing/>
        <w:ind w:left="3240" w:hanging="360"/>
      </w:pPr>
      <w:rPr>
        <w:rFonts w:hint="default"/>
      </w:rPr>
    </w:lvl>
  </w:abstractNum>
  <w:abstractNum w:abstractNumId="1">
    <w:nsid w:val="2FDE1698"/>
    <w:lvl w:ilvl="0">
      <w:start w:val="1"/>
      <w:numFmt w:val="upperRoman"/>
      <w:suff w:val="tab"/>
      <w:lvlText w:val="%1."/>
      <w:pPr>
        <w:tabs>
          <w:tab w:val="num" w:pos="720"/>
        </w:tabs>
        <w:spacing/>
        <w:ind w:left="360" w:hanging="360"/>
      </w:pPr>
      <w:rPr>
        <w:rFonts w:hint="default"/>
      </w:rPr>
    </w:lvl>
    <w:lvl w:ilvl="1">
      <w:start w:val="1"/>
      <w:numFmt w:val="decimal"/>
      <w:suff w:val="tab"/>
      <w:lvlText w:val="%1.%2."/>
      <w:pPr>
        <w:tabs>
          <w:tab w:val="num" w:pos="792"/>
        </w:tabs>
        <w:spacing/>
        <w:ind w:left="792" w:hanging="432"/>
      </w:pPr>
      <w:rPr>
        <w:rFonts w:hint="default"/>
      </w:rPr>
    </w:lvl>
    <w:lvl w:ilvl="2">
      <w:start w:val="1"/>
      <w:numFmt w:val="upperLetter"/>
      <w:pStyle w:val="Heading3"/>
      <w:suff w:val="tab"/>
      <w:lvlText w:val="%1.%2.%3."/>
      <w:pPr>
        <w:tabs>
          <w:tab w:val="num" w:pos="1440"/>
        </w:tabs>
        <w:spacing/>
        <w:ind w:left="1224" w:hanging="504"/>
      </w:pPr>
      <w:rPr>
        <w:rFonts w:hint="default"/>
      </w:rPr>
    </w:lvl>
    <w:lvl w:ilvl="3">
      <w:start w:val="1"/>
      <w:numFmt w:val="lowerRoman"/>
      <w:suff w:val="tab"/>
      <w:lvlText w:val="%1.%2.%3.%4."/>
      <w:pPr>
        <w:tabs>
          <w:tab w:val="num" w:pos="2160"/>
        </w:tabs>
        <w:spacing/>
        <w:ind w:left="1728" w:hanging="648"/>
      </w:pPr>
      <w:rPr>
        <w:rFonts w:hint="default"/>
      </w:rPr>
    </w:lvl>
    <w:lvl w:ilvl="4">
      <w:start w:val="1"/>
      <w:numFmt w:val="decimal"/>
      <w:suff w:val="tab"/>
      <w:lvlText w:val="%1.%2.%3.%4.%5."/>
      <w:pPr>
        <w:tabs>
          <w:tab w:val="num" w:pos="2520"/>
        </w:tabs>
        <w:spacing/>
        <w:ind w:left="2232" w:hanging="792"/>
      </w:pPr>
      <w:rPr>
        <w:rFonts w:hint="default"/>
      </w:rPr>
    </w:lvl>
    <w:lvl w:ilvl="5">
      <w:start w:val="1"/>
      <w:numFmt w:val="decimal"/>
      <w:suff w:val="tab"/>
      <w:lvlText w:val="%1.%2.%3.%4.%5.%6."/>
      <w:pPr>
        <w:tabs>
          <w:tab w:val="num" w:pos="2880"/>
        </w:tabs>
        <w:spacing/>
        <w:ind w:left="2736" w:hanging="936"/>
      </w:pPr>
      <w:rPr>
        <w:rFonts w:hint="default"/>
      </w:rPr>
    </w:lvl>
    <w:lvl w:ilvl="6">
      <w:start w:val="1"/>
      <w:numFmt w:val="decimal"/>
      <w:suff w:val="tab"/>
      <w:lvlText w:val="%1.%2.%3.%4.%5.%6.%7."/>
      <w:pPr>
        <w:tabs>
          <w:tab w:val="num" w:pos="3600"/>
        </w:tabs>
        <w:spacing/>
        <w:ind w:left="3240" w:hanging="1080"/>
      </w:pPr>
      <w:rPr>
        <w:rFonts w:hint="default"/>
      </w:rPr>
    </w:lvl>
    <w:lvl w:ilvl="7">
      <w:start w:val="1"/>
      <w:numFmt w:val="decimal"/>
      <w:suff w:val="tab"/>
      <w:lvlText w:val="%1.%2.%3.%4.%5.%6.%7.%8."/>
      <w:pPr>
        <w:tabs>
          <w:tab w:val="num" w:pos="3960"/>
        </w:tabs>
        <w:spacing/>
        <w:ind w:left="3744" w:hanging="1224"/>
      </w:pPr>
      <w:rPr>
        <w:rFonts w:hint="default"/>
      </w:rPr>
    </w:lvl>
    <w:lvl w:ilvl="8">
      <w:start w:val="1"/>
      <w:numFmt w:val="decimal"/>
      <w:suff w:val="tab"/>
      <w:lvlText w:val="%1.%2.%3.%4.%5.%6.%7.%8.%9."/>
      <w:pPr>
        <w:tabs>
          <w:tab w:val="num" w:pos="4680"/>
        </w:tabs>
        <w:spacing/>
        <w:ind w:left="4320" w:hanging="1440"/>
      </w:pPr>
      <w:rPr>
        <w:rFonts w:hint="default"/>
      </w:rPr>
    </w:lvl>
  </w:abstractNum>
  <w:abstractNum w:abstractNumId="2">
    <w:nsid w:val="3B0E581C"/>
    <w:lvl w:ilvl="0">
      <w:start w:val="1"/>
      <w:numFmt w:val="decimal"/>
      <w:pStyle w:val="Section8"/>
      <w:suff w:val="tab"/>
      <w:lvlText w:val="8-13.%1"/>
      <w:pPr>
        <w:tabs>
          <w:tab w:val="num" w:pos="1440"/>
        </w:tabs>
        <w:spacing/>
        <w:ind w:left="0" w:firstLine="72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3">
    <w:nsid w:val="47321040"/>
    <w:lvl w:ilvl="0">
      <w:start w:val="1"/>
      <w:numFmt w:val="decimal"/>
      <w:pStyle w:val="Section8"/>
      <w:suff w:val="tab"/>
      <w:lvlText w:val="8-13.%1"/>
      <w:pPr>
        <w:tabs>
          <w:tab w:val="num" w:pos="216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4">
    <w:nsid w:val="53582DB7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2160"/>
        </w:tabs>
        <w:spacing/>
        <w:ind w:left="216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880"/>
        </w:tabs>
        <w:spacing/>
        <w:ind w:left="2880" w:hanging="180"/>
      </w:pPr>
      <w:rPr/>
    </w:lvl>
    <w:lvl w:ilvl="3">
      <w:start w:val="1"/>
      <w:numFmt w:val="decimal"/>
      <w:suff w:val="tab"/>
      <w:lvlText w:val="%4."/>
      <w:pPr>
        <w:tabs>
          <w:tab w:val="num" w:pos="3600"/>
        </w:tabs>
        <w:spacing/>
        <w:ind w:left="3600" w:hanging="360"/>
      </w:pPr>
      <w:rPr/>
    </w:lvl>
    <w:lvl w:ilvl="4">
      <w:start w:val="1"/>
      <w:numFmt w:val="lowerLetter"/>
      <w:suff w:val="tab"/>
      <w:lvlText w:val="%5."/>
      <w:pPr>
        <w:tabs>
          <w:tab w:val="num" w:pos="4320"/>
        </w:tabs>
        <w:spacing/>
        <w:ind w:left="432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5040"/>
        </w:tabs>
        <w:spacing/>
        <w:ind w:left="5040" w:hanging="180"/>
      </w:pPr>
      <w:rPr/>
    </w:lvl>
    <w:lvl w:ilvl="6">
      <w:start w:val="1"/>
      <w:numFmt w:val="decimal"/>
      <w:suff w:val="tab"/>
      <w:lvlText w:val="%7."/>
      <w:pPr>
        <w:tabs>
          <w:tab w:val="num" w:pos="5760"/>
        </w:tabs>
        <w:spacing/>
        <w:ind w:left="5760" w:hanging="360"/>
      </w:pPr>
      <w:rPr/>
    </w:lvl>
    <w:lvl w:ilvl="7">
      <w:start w:val="1"/>
      <w:numFmt w:val="lowerLetter"/>
      <w:suff w:val="tab"/>
      <w:lvlText w:val="%8."/>
      <w:pPr>
        <w:tabs>
          <w:tab w:val="num" w:pos="6480"/>
        </w:tabs>
        <w:spacing/>
        <w:ind w:left="648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200"/>
        </w:tabs>
        <w:spacing/>
        <w:ind w:left="7200" w:hanging="180"/>
      </w:pPr>
      <w:rPr/>
    </w:lvl>
  </w:abstractNum>
  <w:abstractNum w:abstractNumId="5">
    <w:nsid w:val="684D2E1E"/>
    <w:lvl w:ilvl="0">
      <w:start w:val="6"/>
      <w:numFmt w:val="decimal"/>
      <w:pStyle w:val="Section102"/>
      <w:suff w:val="tab"/>
      <w:lvlText w:val="102-8.%1"/>
      <w:lvlJc w:val="right"/>
      <w:pPr>
        <w:tabs>
          <w:tab w:val="num" w:pos="1800"/>
        </w:tabs>
        <w:spacing/>
        <w:ind w:left="0" w:firstLine="1440"/>
      </w:pPr>
      <w:rPr>
        <w:rFonts w:ascii="Times New Roman" w:hAnsi="Times New Roman" w:eastAsia="Times New Roman" w:cs="Times New Roman" w:hint="default"/>
        <w:b/>
        <w:i w:val="0"/>
        <w:sz w:val="22"/>
      </w:rPr>
    </w:lvl>
    <w:lvl w:ilvl="1">
      <w:start w:val="1"/>
      <w:numFmt w:val="lowerLetter"/>
      <w:suff w:val="tab"/>
      <w:lvlText w:val="%2."/>
      <w:pPr>
        <w:tabs>
          <w:tab w:val="num" w:pos="1440"/>
        </w:tabs>
        <w:spacing/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spacing/>
        <w:ind w:left="2160" w:hanging="180"/>
      </w:pPr>
      <w:rPr/>
    </w:lvl>
    <w:lvl w:ilvl="3">
      <w:start w:val="1"/>
      <w:numFmt w:val="decimal"/>
      <w:suff w:val="tab"/>
      <w:lvlText w:val="%4."/>
      <w:pPr>
        <w:tabs>
          <w:tab w:val="num" w:pos="2880"/>
        </w:tabs>
        <w:spacing/>
        <w:ind w:left="2880" w:hanging="360"/>
      </w:pPr>
      <w:rPr/>
    </w:lvl>
    <w:lvl w:ilvl="4">
      <w:start w:val="1"/>
      <w:numFmt w:val="lowerLetter"/>
      <w:suff w:val="tab"/>
      <w:lvlText w:val="%5."/>
      <w:pPr>
        <w:tabs>
          <w:tab w:val="num" w:pos="3600"/>
        </w:tabs>
        <w:spacing/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spacing/>
        <w:ind w:left="4320" w:hanging="180"/>
      </w:pPr>
      <w:rPr/>
    </w:lvl>
    <w:lvl w:ilvl="6">
      <w:start w:val="1"/>
      <w:numFmt w:val="decimal"/>
      <w:suff w:val="tab"/>
      <w:lvlText w:val="%7."/>
      <w:pPr>
        <w:tabs>
          <w:tab w:val="num" w:pos="5040"/>
        </w:tabs>
        <w:spacing/>
        <w:ind w:left="5040" w:hanging="360"/>
      </w:pPr>
      <w:rPr/>
    </w:lvl>
    <w:lvl w:ilvl="7">
      <w:start w:val="1"/>
      <w:numFmt w:val="lowerLetter"/>
      <w:suff w:val="tab"/>
      <w:lvlText w:val="%8."/>
      <w:pPr>
        <w:tabs>
          <w:tab w:val="num" w:pos="5760"/>
        </w:tabs>
        <w:spacing/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spacing/>
        <w:ind w:left="6480" w:hanging="180"/>
      </w:pPr>
      <w:rPr/>
    </w:lvl>
  </w:abstractNum>
  <w:abstractNum w:abstractNumId="6">
    <w:nsid w:val="6D4C5551"/>
    <w:lvl w:ilvl="0">
      <w:start w:val="330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Times New Roman" w:cs="Times New Roman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view w:val="web"/>
  <w:zoom w:val="none" w:percent="100"/>
  <w:embedSystemFonts xmlns:w="http://schemas.openxmlformats.org/wordprocessingml/2006/main"/>
  <w:attachedTemplate r:id="rId1"/>
  <w:linkStyles/>
  <w:stylePaneFormatFilter xmlns:w="http://schemas.openxmlformats.org/wordprocessingml/2006/main"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 xmlns:w="http://schemas.openxmlformats.org/wordprocessingml/2006/main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/>
      </w:pPr>
    </w:pPrDefault>
  </w:docDefaults>
  <w:style w:type="paragraph" w:styleId="Normal" w:default="1">
    <w:name w:val="Normal"/>
    <w:next w:val="Normal"/>
    <w:qFormat/>
    <w:pPr>
      <w:widowControl w:val="false"/>
      <w:autoSpaceDE w:val="false"/>
      <w:autoSpaceDN w:val="false"/>
      <w:adjustRightInd w:val="false"/>
      <w:spacing/>
    </w:pPr>
    <w:rPr>
      <w:sz w:val="24"/>
      <w:szCs w:val="24"/>
    </w:rPr>
  </w:style>
  <w:style w:type="paragraph" w:styleId="Heading1">
    <w:name w:val="Heading 1"/>
    <w:basedOn w:val="Heading2"/>
    <w:next w:val="Normal"/>
    <w:link w:val="Heading1Char"/>
    <w:qFormat/>
    <w:pPr>
      <w:spacing/>
      <w:outlineLvl w:val="0"/>
    </w:pPr>
    <w:rPr>
      <w:bCs w:val="0"/>
      <w:kern w:val="32"/>
      <w:sz w:val="96"/>
      <w:szCs w:val="32"/>
    </w:rPr>
  </w:style>
  <w:style w:type="paragraph" w:styleId="Heading2">
    <w:name w:val="Heading 2"/>
    <w:basedOn w:val="Article"/>
    <w:next w:val="Dates"/>
    <w:link w:val="Heading2Char"/>
    <w:qFormat/>
    <w:pPr>
      <w:spacing w:after="60"/>
      <w:outlineLvl w:val="1"/>
    </w:pPr>
    <w:rPr>
      <w:rFonts w:cs="Arial"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numPr>
      <w:ilvl w:val="2"/>
      <w:numId w:val="2"/>
    </w:numPr>
    <w:pPr>
      <w:keepNext/>
      <w:numPr>
        <w:ilvl w:val="2"/>
        <w:numId w:val="2"/>
      </w:numPr>
      <w:spacing w:before="240" w:after="6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link w:val="Heading4Char"/>
    <w:qFormat/>
    <w:pPr>
      <w:keepNext/>
      <w:spacing/>
      <w:jc w:val="center"/>
      <w:outlineLvl w:val="3"/>
    </w:pPr>
    <w:rPr>
      <w:rFonts w:ascii="Goudy Old Style" w:hAnsi="Goudy Old Style" w:eastAsia="Goudy Old Style" w:cs="Goudy Old Style"/>
      <w:sz w:val="36"/>
    </w:rPr>
  </w:style>
  <w:style w:type="paragraph" w:styleId="Heading8">
    <w:name w:val="Heading 8"/>
    <w:basedOn w:val="Article"/>
    <w:next w:val="Normal"/>
    <w:link w:val="Heading8Char"/>
    <w:qFormat/>
    <w:pPr>
      <w:spacing w:after="60"/>
      <w:outlineLvl w:val="7"/>
    </w:pPr>
    <w:rPr>
      <w:iCs/>
    </w:rPr>
  </w:style>
  <w:style w:type="paragraph" w:styleId="Heading9">
    <w:name w:val="Heading 9"/>
    <w:basedOn w:val="Article"/>
    <w:next w:val="Normal"/>
    <w:link w:val="Heading9Char"/>
    <w:qFormat/>
    <w:pPr>
      <w:spacing w:after="60"/>
      <w:outlineLvl w:val="8"/>
    </w:pPr>
    <w:rPr>
      <w:rFonts w:ascii="Arial" w:hAnsi="Arial" w:eastAsia="Arial" w:cs="Arial"/>
      <w:szCs w:val="22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  <w:spacing/>
    </w:pPr>
    <w:rPr/>
  </w:style>
  <w:style w:type="paragraph" w:styleId="Footer">
    <w:name w:val="Footer"/>
    <w:basedOn w:val="Normal"/>
    <w:pPr>
      <w:tabs>
        <w:tab w:val="center" w:pos="4320"/>
        <w:tab w:val="right" w:pos="8640"/>
      </w:tabs>
      <w:spacing/>
    </w:pPr>
    <w:rPr>
      <w:sz w:val="22"/>
    </w:rPr>
  </w:style>
  <w:style w:type="paragraph" w:styleId="Section80" w:customStyle="1">
    <w:name w:val="Section8"/>
    <w:basedOn w:val="Normal"/>
    <w:numPr>
      <w:ilvl w:val="0"/>
      <w:numId w:val="4"/>
    </w:numPr>
    <w:pPr>
      <w:numPr>
        <w:ilvl w:val="0"/>
        <w:numId w:val="4"/>
      </w:numPr>
      <w:tabs>
        <w:tab w:val="left" w:pos="1440"/>
        <w:tab w:val="left" w:pos="1800"/>
      </w:tabs>
      <w:spacing/>
      <w:outlineLvl w:val="7"/>
    </w:pPr>
    <w:rPr>
      <w:b/>
    </w:rPr>
  </w:style>
  <w:style w:type="paragraph" w:styleId="Section102" w:customStyle="1">
    <w:name w:val="Section102"/>
    <w:basedOn w:val="Section80"/>
    <w:numPr>
      <w:ilvl w:val="0"/>
      <w:numId w:val="5"/>
    </w:numPr>
    <w:pPr>
      <w:numPr>
        <w:ilvl w:val="0"/>
        <w:numId w:val="5"/>
      </w:numPr>
      <w:tabs>
        <w:tab w:val="left" w:pos="720"/>
        <w:tab w:val="left" w:pos="2160"/>
      </w:tabs>
      <w:spacing/>
      <w:outlineLvl w:val="8"/>
    </w:pPr>
    <w:rPr/>
  </w:style>
  <w:style w:type="paragraph" w:styleId="Subarticle" w:customStyle="1">
    <w:name w:val="Subarticle"/>
    <w:pPr>
      <w:keepNext/>
      <w:spacing/>
      <w:ind w:firstLine="720"/>
    </w:pPr>
    <w:rPr>
      <w:b/>
      <w:sz w:val="24"/>
      <w:szCs w:val="24"/>
    </w:rPr>
  </w:style>
  <w:style w:type="paragraph" w:styleId="Article" w:customStyle="1">
    <w:name w:val="Article"/>
    <w:next w:val="BodyText"/>
    <w:link w:val="ArticleChar"/>
    <w:pPr>
      <w:keepNext/>
      <w:tabs>
        <w:tab w:val="left" w:pos="720"/>
      </w:tabs>
      <w:spacing w:before="240"/>
    </w:pPr>
    <w:rPr>
      <w:b/>
      <w:sz w:val="24"/>
    </w:rPr>
  </w:style>
  <w:style w:type="paragraph" w:styleId="LeadInSentence" w:customStyle="1">
    <w:name w:val="Lead In Sentence"/>
    <w:next w:val="BodyText"/>
    <w:pPr>
      <w:keepNext/>
      <w:spacing w:after="240"/>
      <w:ind w:firstLine="720"/>
    </w:pPr>
    <w:rPr>
      <w:sz w:val="24"/>
    </w:rPr>
  </w:style>
  <w:style w:type="paragraph" w:styleId="BodyText">
    <w:name w:val="Body Text"/>
    <w:next w:val="Normal"/>
    <w:link w:val="BodyTextChar"/>
    <w:pPr>
      <w:tabs>
        <w:tab w:val="left" w:pos="720"/>
      </w:tabs>
      <w:spacing/>
    </w:pPr>
    <w:rPr>
      <w:sz w:val="24"/>
    </w:rPr>
  </w:style>
  <w:style w:type="paragraph" w:styleId="DocumentMap">
    <w:name w:val="Document Map"/>
    <w:basedOn w:val="Normal"/>
    <w:pPr>
      <w:shd w:val="clear" w:color="auto" w:fill="000080"/>
      <w:spacing/>
    </w:pPr>
    <w:rPr>
      <w:rFonts w:ascii="Tahoma" w:hAnsi="Tahoma" w:eastAsia="Tahoma" w:cs="Tahoma"/>
    </w:rPr>
  </w:style>
  <w:style w:type="paragraph" w:styleId="BodyTextIndent">
    <w:name w:val="Body Text Indent"/>
    <w:basedOn w:val="Normal"/>
    <w:pPr>
      <w:tabs>
        <w:tab w:val="left" w:pos="1440"/>
      </w:tabs>
      <w:spacing/>
      <w:ind w:left="1440" w:hanging="1440"/>
    </w:pPr>
    <w:rPr>
      <w:b/>
      <w:bCs/>
    </w:rPr>
  </w:style>
  <w:style w:type="paragraph" w:styleId="Section1020" w:customStyle="1">
    <w:name w:val="Section 102"/>
    <w:basedOn w:val="Heading9"/>
    <w:numPr>
      <w:ilvl w:val="0"/>
      <w:numId w:val="6"/>
    </w:numPr>
    <w:pPr>
      <w:widowControl w:val="false"/>
      <w:numPr>
        <w:ilvl w:val="0"/>
        <w:numId w:val="6"/>
      </w:numPr>
      <w:autoSpaceDE w:val="false"/>
      <w:autoSpaceDN w:val="false"/>
      <w:adjustRightInd w:val="false"/>
      <w:spacing w:before="0" w:after="0"/>
    </w:pPr>
    <w:rPr>
      <w:rFonts w:ascii="Times New Roman" w:hAnsi="Times New Roman" w:eastAsia="Times New Roman" w:cs="Times New Roman"/>
    </w:rPr>
  </w:style>
  <w:style w:type="paragraph" w:styleId="SectionHeading" w:customStyle="1">
    <w:name w:val="Section Heading"/>
    <w:next w:val="Article"/>
    <w:pPr>
      <w:keepNext/>
      <w:spacing w:before="120"/>
      <w:jc w:val="center"/>
    </w:pPr>
    <w:rPr>
      <w:b/>
      <w:caps/>
      <w:sz w:val="24"/>
    </w:rPr>
  </w:style>
  <w:style w:type="paragraph" w:styleId="TOC1">
    <w:name w:val="TOC 1"/>
    <w:basedOn w:val="Normal"/>
    <w:next w:val="Normal"/>
    <w:pPr>
      <w:spacing w:before="120" w:after="120"/>
    </w:pPr>
    <w:rPr>
      <w:b/>
    </w:rPr>
  </w:style>
  <w:style w:type="table" w:styleId="TableGrid">
    <w:name w:val="Table Grid"/>
    <w:basedOn w:val="TableNormal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ection8" w:customStyle="1">
    <w:name w:val="Section 8"/>
    <w:basedOn w:val="Heading8"/>
    <w:next w:val="Dates"/>
    <w:numPr>
      <w:ilvl w:val="0"/>
      <w:numId w:val="3"/>
    </w:numPr>
    <w:pPr>
      <w:keepLines/>
      <w:numPr>
        <w:ilvl w:val="0"/>
        <w:numId w:val="3"/>
      </w:numPr>
      <w:spacing w:before="0" w:after="0"/>
    </w:pPr>
    <w:rPr>
      <w:szCs w:val="24"/>
    </w:rPr>
  </w:style>
  <w:style w:type="paragraph" w:styleId="Dates" w:customStyle="1">
    <w:name w:val="Dates"/>
    <w:basedOn w:val="Article"/>
    <w:next w:val="LeadInSentence"/>
    <w:pPr>
      <w:spacing w:before="0" w:after="240"/>
      <w:contextualSpacing/>
    </w:pPr>
    <w:rPr/>
  </w:style>
  <w:style w:type="paragraph" w:styleId="PayItem" w:customStyle="1">
    <w:name w:val="PayItem"/>
    <w:basedOn w:val="BodyText"/>
    <w:pPr>
      <w:tabs>
        <w:tab w:val="clear" w:pos="720"/>
      </w:tabs>
      <w:spacing/>
      <w:ind w:left="3600" w:right="10" w:hanging="2170"/>
    </w:pPr>
    <w:rPr/>
  </w:style>
  <w:style w:type="character" w:styleId="ArticleChar" w:customStyle="1">
    <w:name w:val="Article Char"/>
    <w:basedOn w:val="DefaultParagraphFont"/>
    <w:link w:val="Article"/>
    <w:rPr>
      <w:b/>
      <w:sz w:val="24"/>
    </w:rPr>
  </w:style>
  <w:style w:type="paragraph" w:styleId="BalloonText">
    <w:name w:val="Balloon Text"/>
    <w:basedOn w:val="Normal"/>
    <w:link w:val="BalloonTextChar"/>
    <w:pPr>
      <w:spacing/>
    </w:pPr>
    <w:rPr>
      <w:rFonts w:ascii="Tahoma" w:hAnsi="Tahoma" w:eastAsia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Pr>
      <w:rFonts w:ascii="Tahoma" w:hAnsi="Tahoma" w:eastAsia="Tahoma" w:cs="Tahoma"/>
      <w:sz w:val="16"/>
      <w:szCs w:val="16"/>
    </w:rPr>
  </w:style>
  <w:style w:type="character" w:styleId="CommentReference" w:customStyle="1">
    <w:name w:val="annotation reference"/>
    <w:basedOn w:val="DefaultParagraphFont"/>
    <w:rPr>
      <w:sz w:val="16"/>
      <w:szCs w:val="16"/>
    </w:rPr>
  </w:style>
  <w:style w:type="paragraph" w:styleId="CommentText" w:customStyle="1">
    <w:name w:val="annotation text"/>
    <w:basedOn w:val="Normal"/>
    <w:link w:val="CommentTextChar"/>
    <w:pPr>
      <w:spacing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annotationtext"/>
    <w:rPr/>
  </w:style>
  <w:style w:type="paragraph" w:styleId="CommentSubject" w:customStyle="1">
    <w:name w:val="annotation subject"/>
    <w:basedOn w:val="CommentText"/>
    <w:next w:val="annotationtext"/>
    <w:link w:val="CommentSubjectChar"/>
    <w:pPr>
      <w:spacing/>
    </w:pPr>
    <w:rPr>
      <w:b/>
      <w:bCs/>
    </w:rPr>
  </w:style>
  <w:style w:type="character" w:styleId="CommentSubjectChar" w:customStyle="1">
    <w:name w:val="Comment Subject Char"/>
    <w:basedOn w:val="DefaultParagraphFont"/>
    <w:link w:val="annotationsubject"/>
    <w:rPr>
      <w:b/>
      <w:bCs/>
    </w:rPr>
  </w:style>
  <w:style w:type="paragraph" w:styleId="TOC2">
    <w:name w:val="TOC 2"/>
    <w:basedOn w:val="Normal"/>
    <w:next w:val="Normal"/>
    <w:pPr>
      <w:spacing/>
      <w:ind w:left="1080" w:right="1080" w:hanging="720"/>
    </w:pPr>
    <w:rPr/>
  </w:style>
  <w:style w:type="paragraph" w:styleId="TOC3">
    <w:name w:val="TOC 3"/>
    <w:basedOn w:val="Normal"/>
    <w:next w:val="Normal"/>
    <w:pPr>
      <w:spacing/>
      <w:ind w:left="360"/>
    </w:pPr>
    <w:rPr/>
  </w:style>
  <w:style w:type="paragraph" w:styleId="TOC4">
    <w:name w:val="TOC 4"/>
    <w:basedOn w:val="Normal"/>
    <w:next w:val="Normal"/>
    <w:pPr>
      <w:spacing/>
      <w:ind w:left="720"/>
    </w:pPr>
    <w:rPr/>
  </w:style>
  <w:style w:type="paragraph" w:styleId="TOC5">
    <w:name w:val="TOC 5"/>
    <w:basedOn w:val="Normal"/>
    <w:next w:val="Normal"/>
    <w:pPr>
      <w:spacing/>
      <w:ind w:left="960"/>
    </w:pPr>
    <w:rPr/>
  </w:style>
  <w:style w:type="paragraph" w:styleId="TOC6">
    <w:name w:val="TOC 6"/>
    <w:basedOn w:val="Normal"/>
    <w:next w:val="Normal"/>
    <w:pPr>
      <w:spacing/>
      <w:ind w:left="1200"/>
    </w:pPr>
    <w:rPr/>
  </w:style>
  <w:style w:type="paragraph" w:styleId="TOC7">
    <w:name w:val="TOC 7"/>
    <w:basedOn w:val="Normal"/>
    <w:next w:val="Normal"/>
    <w:pPr>
      <w:spacing/>
      <w:ind w:left="1440"/>
    </w:pPr>
    <w:rPr/>
  </w:style>
  <w:style w:type="paragraph" w:styleId="TOC8">
    <w:name w:val="TOC 8"/>
    <w:basedOn w:val="Normal"/>
    <w:next w:val="Normal"/>
    <w:pPr>
      <w:spacing/>
      <w:ind w:left="1680"/>
    </w:pPr>
    <w:rPr/>
  </w:style>
  <w:style w:type="paragraph" w:styleId="TOC9">
    <w:name w:val="TOC 9"/>
    <w:basedOn w:val="Normal"/>
    <w:next w:val="Normal"/>
    <w:pPr>
      <w:spacing/>
      <w:ind w:left="1920"/>
    </w:pPr>
    <w:rPr/>
  </w:style>
  <w:style w:type="paragraph" w:styleId="BlockText">
    <w:name w:val="Block Text"/>
    <w:basedOn w:val="Normal"/>
    <w:pPr>
      <w:spacing w:after="120"/>
      <w:ind w:left="1440" w:right="1440"/>
    </w:pPr>
    <w:rPr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rPr>
      <w:sz w:val="24"/>
      <w:szCs w:val="24"/>
    </w:rPr>
  </w:style>
  <w:style w:type="character" w:styleId="Heading1Char" w:customStyle="1">
    <w:name w:val="Heading 1 Char"/>
    <w:basedOn w:val="DefaultParagraphFont"/>
    <w:link w:val="Heading1"/>
    <w:rPr>
      <w:rFonts w:cs="Arial"/>
      <w:b/>
      <w:iCs/>
      <w:caps/>
      <w:kern w:val="32"/>
      <w:sz w:val="96"/>
      <w:szCs w:val="32"/>
    </w:rPr>
  </w:style>
  <w:style w:type="character" w:styleId="Heading8Char" w:customStyle="1">
    <w:name w:val="Heading 8 Char"/>
    <w:basedOn w:val="DefaultParagraphFont"/>
    <w:link w:val="Heading8"/>
    <w:rPr>
      <w:b/>
      <w:iCs/>
      <w:sz w:val="24"/>
    </w:rPr>
  </w:style>
  <w:style w:type="character" w:styleId="Heading9Char" w:customStyle="1">
    <w:name w:val="Heading 9 Char"/>
    <w:basedOn w:val="DefaultParagraphFont"/>
    <w:link w:val="Heading9"/>
    <w:rPr>
      <w:rFonts w:ascii="Arial" w:hAnsi="Arial" w:eastAsia="Arial" w:cs="Arial"/>
      <w:b/>
      <w:sz w:val="24"/>
      <w:szCs w:val="22"/>
    </w:rPr>
  </w:style>
  <w:style w:type="character" w:styleId="BodyTextChar" w:customStyle="1">
    <w:name w:val="Body Text Char"/>
    <w:basedOn w:val="DefaultParagraphFont"/>
    <w:link w:val="BodyText"/>
    <w:rPr>
      <w:sz w:val="24"/>
    </w:rPr>
  </w:style>
  <w:style w:type="character" w:styleId="PageNumber">
    <w:name w:val="Page Number"/>
    <w:basedOn w:val="DefaultParagraphFont"/>
    <w:rPr/>
  </w:style>
  <w:style w:type="character" w:styleId="Heading3Char" w:customStyle="1">
    <w:name w:val="Heading 3 Char"/>
    <w:basedOn w:val="DefaultParagraphFont"/>
    <w:link w:val="Heading3"/>
    <w:rPr>
      <w:rFonts w:cs="Arial"/>
      <w:bCs/>
      <w:sz w:val="24"/>
      <w:szCs w:val="26"/>
    </w:rPr>
  </w:style>
  <w:style w:type="paragraph" w:styleId="Subdivision" w:customStyle="1">
    <w:name w:val="Subdivision"/>
    <w:basedOn w:val="Normal"/>
    <w:pPr>
      <w:keepNext/>
      <w:widowControl w:val="true"/>
      <w:autoSpaceDE w:val="true"/>
      <w:autoSpaceDN w:val="true"/>
      <w:adjustRightInd w:val="true"/>
      <w:spacing w:before="120" w:after="240"/>
      <w:jc w:val="center"/>
    </w:pPr>
    <w:rPr>
      <w:caps/>
      <w:sz w:val="26"/>
      <w:szCs w:val="20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eading2Char" w:customStyle="1">
    <w:name w:val="Heading 2 Char"/>
    <w:basedOn w:val="DefaultParagraphFont"/>
    <w:link w:val="Heading2"/>
    <w:rPr>
      <w:rFonts w:cs="Arial"/>
      <w:b/>
      <w:bCs/>
      <w:iCs/>
      <w:caps/>
      <w:sz w:val="24"/>
      <w:szCs w:val="28"/>
    </w:rPr>
  </w:style>
  <w:style w:type="character" w:styleId="Heading4Char" w:customStyle="1">
    <w:name w:val="Heading 4 Char"/>
    <w:basedOn w:val="DefaultParagraphFont"/>
    <w:link w:val="Heading4"/>
    <w:rPr>
      <w:rFonts w:ascii="Goudy Old Style" w:hAnsi="Goudy Old Style" w:eastAsia="Goudy Old Style" w:cs="Goudy Old Style"/>
      <w:sz w:val="36"/>
      <w:szCs w:val="24"/>
    </w:rPr>
  </w:style>
  <w:style w:type="character" w:styleId="Strong">
    <w:name w:val="Strong"/>
    <w:basedOn w:val="DefaultParagraphFont"/>
    <w:qFormat/>
    <w:rPr>
      <w:b/>
      <w:bCs/>
    </w:rPr>
  </w:style>
  <w:style w:type="paragraph" w:styleId="ListParagraph">
    <w:name w:val="List Paragraph"/>
    <w:basedOn w:val="Normal"/>
    <w:qFormat/>
    <w:pPr>
      <w:widowControl w:val="true"/>
      <w:autoSpaceDE w:val="true"/>
      <w:autoSpaceDN w:val="true"/>
      <w:adjustRightInd w:val="true"/>
      <w:spacing/>
      <w:ind w:left="720"/>
    </w:pPr>
    <w:rPr>
      <w:rFonts w:ascii="Calibri" w:hAnsi="Calibri" w:eastAsia="Calibri" w:cs="Calibri"/>
      <w:sz w:val="22"/>
      <w:szCs w:val="22"/>
    </w:rPr>
  </w:style>
  <w:style w:type="paragraph" w:styleId="StyleBodyTextLeft1" w:customStyle="1">
    <w:name w:val="Style Body Text + Left: 1&quot;"/>
    <w:basedOn w:val="BodyText"/>
    <w:pPr>
      <w:widowControl w:val="false"/>
      <w:spacing/>
      <w:ind w:left="1440"/>
    </w:pPr>
    <w:rPr/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numbering" Target="numbering.xml" /><Relationship Id="rId5" Type="http://schemas.openxmlformats.org/officeDocument/2006/relationships/fontTable" Target="fontTable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Y:/Specs/DEVELOP/MEMOS/specdevtemp2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  <a:extLst xmlns:a="http://schemas.openxmlformats.org/drawingml/2006/main"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:vt="http://schemas.openxmlformats.org/officeDocument/2006/docPropsVTypes" xmlns="http://schemas.openxmlformats.org/officeDocument/2006/extended-properties">
  <Template>specdevtemp2.dot</Template>
  <TotalTime>0</TotalTime>
  <Pages>1</Pages>
  <Words>422</Words>
  <Characters>2407</Characters>
  <Application>Microsoft Office Word</Application>
  <DocSecurity>0</DocSecurity>
  <Lines>20</Lines>
  <Paragraphs>5</Paragraphs>
  <Company>FDOT</Company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337</dc:title>
  <dc:subject>Asphalt Concrete Friction Courses</dc:subject>
  <dc:creator>Debbie Toole</dc:creator>
  <cp:keywords/>
  <dc:description/>
  <cp:lastModifiedBy>Abrahams, Hill</cp:lastModifiedBy>
  <cp:lastPrinted>2016-08-05T16:33:00Z</cp:lastPrinted>
  <cp:revision>2</cp:revision>
  <dcterms:created xsi:type="dcterms:W3CDTF">2019-04-09T20:30:00Z</dcterms:created>
  <dcterms:modified xsi:type="dcterms:W3CDTF">2019-04-09T20:30:00Z</dcterms:modified>
</cp:coreProperties>
</file>