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oter4.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1.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Heading2"/>
        <w:spacing/>
        <w:rPr/>
      </w:pPr>
      <w:bookmarkStart w:id="2" w:name="_GoBack"/>
      <w:bookmarkEnd w:id="2"/>
      <w:r>
        <w:rPr/>
        <w:t xml:space="preserve">924</w:t>
      </w:r>
      <w:r>
        <w:rPr/>
        <w:tab/>
        <w:t xml:space="preserve"/>
      </w:r>
      <w:r>
        <w:rPr/>
        <w:t xml:space="preserve">ADMIXTURES FOR CONCRETE</w:t>
      </w:r>
      <w:r>
        <w:rPr/>
        <w:t xml:space="preserve">.</w:t>
      </w:r>
    </w:p>
    <w:p>
      <w:pPr>
        <w:pStyle w:val="Dates"/>
        <w:spacing/>
        <w:rPr/>
      </w:pPr>
      <w:r>
        <w:rPr/>
        <w:tab/>
        <w:t xml:space="preserve"/>
      </w:r>
      <w:r>
        <w:rPr/>
        <w:t xml:space="preserve">(REV 3-1-17) (FA 3-1-17) (7-17)</w:t>
      </w:r>
    </w:p>
    <w:p>
      <w:pPr>
        <w:pStyle w:val="LeadInSentence"/>
        <w:spacing/>
        <w:rPr/>
      </w:pPr>
      <w:r>
        <w:rPr/>
        <w:t xml:space="preserve">SUBARTICLE 924-2.7 is deleted and the following is substituted:</w:t>
      </w:r>
    </w:p>
    <w:p>
      <w:pPr>
        <w:pStyle w:val="BodyText"/>
        <w:spacing/>
        <w:rPr>
          <w:szCs w:val="22"/>
        </w:rPr>
      </w:pPr>
      <w:r>
        <w:rPr/>
        <w:tab/>
        <w:t xml:space="preserve"/>
      </w:r>
      <w:r>
        <w:rPr>
          <w:b/>
          <w:bCs/>
        </w:rPr>
        <w:t xml:space="preserve">924-2.7 For Corrosion Inhibitors</w:t>
      </w:r>
      <w:r>
        <w:rPr>
          <w:b/>
          <w:bCs/>
          <w:szCs w:val="22"/>
        </w:rPr>
        <w:t xml:space="preserve">:</w:t>
      </w:r>
      <w:r>
        <w:rPr>
          <w:szCs w:val="22"/>
        </w:rPr>
        <w:t xml:space="preserve"> Corrosion inhibitors shall meet the requirements of ASTM G109 and all requirements in this Section.</w:t>
      </w:r>
    </w:p>
    <w:p>
      <w:pPr>
        <w:pStyle w:val="BodyText"/>
        <w:spacing/>
        <w:rPr>
          <w:szCs w:val="22"/>
        </w:rPr>
      </w:pPr>
      <w:r>
        <w:rPr/>
        <w:tab/>
        <w:t xml:space="preserve"/>
      </w:r>
      <w:r>
        <w:rPr/>
        <w:tab/>
        <w:t xml:space="preserve"/>
      </w:r>
      <w:r>
        <w:rPr>
          <w:szCs w:val="22"/>
        </w:rPr>
        <w:t xml:space="preserve">Calcium nitrite is a chemically reactive admixture used in concrete to inhibit the corrosion of embedded reinforcing steel and other metallic components. The calcium nitrite supplier shall </w:t>
      </w:r>
      <w:r>
        <w:rPr>
          <w:szCs w:val="22"/>
        </w:rPr>
        <w:t xml:space="preserve">submit to</w:t>
      </w:r>
      <w:r>
        <w:rPr>
          <w:szCs w:val="22"/>
        </w:rPr>
        <w:t xml:space="preserve"> the Engineer test certificates from an independent laboratory indicating compliance with this Specification. The test certificate shall include corrosion inhibiting properties per ASTM G109 and results of physical tests included in this section. Calcium nitrite shall be supplied by the same manufacturing source throughout the project. If a single primary source of calcium nitrite cannot be maintained throughout the project, new test certificates shall be submitted. The Engineer will determine specification compliance of a new supplier’s product, and evaluate the effectiveness of the new calcium nitrite product before approving the source.</w:t>
      </w:r>
    </w:p>
    <w:p>
      <w:pPr>
        <w:pStyle w:val="BodyText"/>
        <w:spacing/>
        <w:rPr>
          <w:szCs w:val="22"/>
        </w:rPr>
      </w:pPr>
      <w:r>
        <w:rPr>
          <w:szCs w:val="22"/>
        </w:rPr>
        <w:tab/>
        <w:t xml:space="preserve"/>
      </w:r>
      <w:r>
        <w:rPr>
          <w:szCs w:val="22"/>
        </w:rPr>
        <w:tab/>
        <w:t xml:space="preserve"/>
      </w:r>
      <w:r>
        <w:rPr>
          <w:szCs w:val="22"/>
        </w:rPr>
        <w:t xml:space="preserve">The active ingredient shall be calcium nitrite Ca(NO</w:t>
      </w:r>
      <w:r>
        <w:rPr>
          <w:szCs w:val="22"/>
          <w:vertAlign w:val="subscript"/>
        </w:rPr>
        <w:t xml:space="preserve">2</w:t>
      </w:r>
      <w:r>
        <w:rPr>
          <w:szCs w:val="22"/>
        </w:rPr>
        <w:t xml:space="preserve">)</w:t>
      </w:r>
      <w:r>
        <w:rPr>
          <w:szCs w:val="22"/>
          <w:vertAlign w:val="subscript"/>
        </w:rPr>
        <w:t xml:space="preserve">2</w:t>
      </w:r>
      <w:r>
        <w:rPr>
          <w:szCs w:val="22"/>
        </w:rPr>
        <w:t xml:space="preserve">.</w:t>
      </w:r>
    </w:p>
    <w:p>
      <w:pPr>
        <w:pStyle w:val="BodyText"/>
        <w:spacing/>
        <w:rPr>
          <w:szCs w:val="22"/>
        </w:rPr>
      </w:pPr>
      <w:r>
        <w:rPr>
          <w:szCs w:val="22"/>
        </w:rPr>
        <w:tab/>
        <w:t xml:space="preserve"/>
      </w:r>
      <w:r>
        <w:rPr>
          <w:szCs w:val="22"/>
        </w:rPr>
        <w:tab/>
        <w:t xml:space="preserve"/>
      </w:r>
      <w:r>
        <w:rPr>
          <w:szCs w:val="22"/>
        </w:rPr>
        <w:t xml:space="preserve">The calcium nitrite shall be furnished in solution containing not less than</w:t>
      </w:r>
      <w:r>
        <w:rPr>
          <w:szCs w:val="22"/>
        </w:rPr>
        <w:t xml:space="preserve"> </w:t>
      </w:r>
      <w:r>
        <w:rPr>
          <w:szCs w:val="22"/>
        </w:rPr>
        <w:t xml:space="preserve">29% calcium nitrite solids. The concentration of the calcium nitrite solution shall be verified by spectrophotometric analysis or other comparable methods. The nitrite concentration shall be measured in accordance with Standard Methods for the Examination of Water and Waste Water, 18th Edition.</w:t>
      </w:r>
    </w:p>
    <w:p>
      <w:pPr>
        <w:pStyle w:val="BodyText"/>
        <w:spacing/>
        <w:rPr>
          <w:szCs w:val="22"/>
        </w:rPr>
      </w:pPr>
      <w:r>
        <w:rPr>
          <w:szCs w:val="22"/>
        </w:rPr>
        <w:tab/>
        <w:t xml:space="preserve"/>
      </w:r>
      <w:r>
        <w:rPr>
          <w:szCs w:val="22"/>
        </w:rPr>
        <w:tab/>
        <w:t xml:space="preserve"/>
      </w:r>
      <w:r>
        <w:rPr>
          <w:szCs w:val="22"/>
        </w:rPr>
        <w:t xml:space="preserve">A volume of one</w:t>
      </w:r>
      <w:r>
        <w:rPr>
          <w:szCs w:val="22"/>
        </w:rPr>
        <w:t xml:space="preserve"> </w:t>
      </w:r>
      <w:r>
        <w:rPr>
          <w:szCs w:val="22"/>
        </w:rPr>
        <w:t xml:space="preserve">gallon of calcium nitrite solution shall weigh within the range of 10.40</w:t>
      </w:r>
      <w:r>
        <w:rPr>
          <w:szCs w:val="22"/>
        </w:rPr>
        <w:t xml:space="preserve"> </w:t>
      </w:r>
      <w:r>
        <w:rPr>
          <w:szCs w:val="22"/>
        </w:rPr>
        <w:t xml:space="preserve">to 11.92 lb.</w:t>
      </w:r>
    </w:p>
    <w:p>
      <w:pPr>
        <w:pStyle w:val="BodyText"/>
        <w:spacing/>
        <w:rPr>
          <w:szCs w:val="22"/>
        </w:rPr>
      </w:pPr>
      <w:r>
        <w:rPr>
          <w:szCs w:val="22"/>
        </w:rPr>
        <w:tab/>
        <w:t xml:space="preserve"/>
      </w:r>
      <w:r>
        <w:rPr>
          <w:szCs w:val="22"/>
        </w:rPr>
        <w:tab/>
        <w:t xml:space="preserve"/>
      </w:r>
      <w:r>
        <w:rPr>
          <w:szCs w:val="22"/>
        </w:rPr>
        <w:t xml:space="preserve">The calcium nitrite solution shall be added to the concrete mixture at a rate of 4.</w:t>
      </w:r>
      <w:r>
        <w:rPr/>
        <w:t xml:space="preserve">50</w:t>
      </w:r>
      <w:r>
        <w:rPr/>
        <w:t xml:space="preserve"> </w:t>
      </w:r>
      <w:r>
        <w:rPr/>
        <w:t xml:space="preserve">to</w:t>
      </w:r>
      <w:r>
        <w:rPr>
          <w:szCs w:val="22"/>
        </w:rPr>
        <w:t xml:space="preserve"> 4.60 gal/yd</w:t>
      </w:r>
      <w:r>
        <w:rPr>
          <w:szCs w:val="22"/>
          <w:vertAlign w:val="superscript"/>
        </w:rPr>
        <w:t xml:space="preserve">3</w:t>
      </w:r>
      <w:r>
        <w:rPr>
          <w:szCs w:val="22"/>
        </w:rPr>
        <w:t xml:space="preserve"> of concrete.</w:t>
      </w:r>
    </w:p>
    <w:p>
      <w:pPr>
        <w:pStyle w:val="BodyText"/>
        <w:spacing/>
        <w:rPr>
          <w:szCs w:val="22"/>
        </w:rPr>
      </w:pPr>
      <w:r>
        <w:rPr>
          <w:szCs w:val="22"/>
        </w:rPr>
        <w:tab/>
        <w:t xml:space="preserve"/>
      </w:r>
      <w:r>
        <w:rPr>
          <w:szCs w:val="22"/>
        </w:rPr>
        <w:tab/>
        <w:t xml:space="preserve"/>
      </w:r>
      <w:r>
        <w:rPr>
          <w:szCs w:val="22"/>
        </w:rPr>
        <w:t xml:space="preserve">The addition of calcium nitrite to the concrete mix shall not adversely affect the properties of fresh and hardened concrete.</w:t>
      </w:r>
    </w:p>
    <w:p>
      <w:pPr>
        <w:pStyle w:val="BodyText"/>
        <w:spacing/>
        <w:rPr/>
      </w:pPr>
      <w:r>
        <w:rPr>
          <w:szCs w:val="22"/>
        </w:rPr>
        <w:tab/>
        <w:t xml:space="preserve"/>
      </w:r>
      <w:r>
        <w:rPr>
          <w:szCs w:val="22"/>
        </w:rPr>
        <w:tab/>
        <w:t xml:space="preserve"/>
      </w:r>
      <w:r>
        <w:rPr/>
        <w:t xml:space="preserve">Calcium Nitrite concrete shall meet the following physical requirements when mixed and tested in accordance with AASHTO M194:</w:t>
      </w:r>
    </w:p>
    <w:p>
      <w:pPr>
        <w:pStyle w:val="BodyText"/>
        <w:spacing/>
        <w:rPr/>
      </w:pPr>
    </w:p>
    <w:tbl>
      <w:tblPr>
        <w:tblW w:w="5000" w:type="pct"/>
        <w:jc w:val="left"/>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left w:w="0" w:type="dxa"/>
          <w:right w:w="0" w:type="dxa"/>
        </w:tblCellMar>
        <w:tblLook w:val="0000" w:firstRow="0" w:lastRow="0" w:firstColumn="0" w:lastColumn="0" w:noHBand="0" w:noVBand="0"/>
      </w:tblPr>
      <w:tblGrid>
        <w:gridCol w:w="6712"/>
        <w:gridCol w:w="2648"/>
      </w:tblGrid>
      <w:tr>
        <w:trPr>
          <w:cantSplit/>
          <w:jc w:val="left"/>
        </w:trPr>
        <w:tc>
          <w:tcPr>
            <w:tcW w:type="pct" w:w="3585"/>
            <w:tcBorders/>
            <w:vAlign w:val="center"/>
          </w:tcPr>
          <w:p>
            <w:pPr>
              <w:pStyle w:val="BodyText"/>
              <w:keepLines/>
              <w:spacing/>
              <w:jc w:val="center"/>
              <w:rPr/>
            </w:pPr>
            <w:r>
              <w:rPr/>
              <w:t xml:space="preserve">Water Content, % of control</w:t>
            </w:r>
          </w:p>
        </w:tc>
        <w:tc>
          <w:tcPr>
            <w:tcW w:type="pct" w:w="1415"/>
            <w:tcBorders/>
            <w:vAlign w:val="center"/>
          </w:tcPr>
          <w:p>
            <w:pPr>
              <w:pStyle w:val="BodyText"/>
              <w:keepLines/>
              <w:spacing/>
              <w:jc w:val="center"/>
              <w:rPr/>
            </w:pPr>
            <w:r>
              <w:rPr/>
              <w:t xml:space="preserve">95 to 100</w:t>
            </w:r>
          </w:p>
        </w:tc>
      </w:tr>
      <w:tr>
        <w:trPr>
          <w:cantSplit/>
          <w:jc w:val="left"/>
        </w:trPr>
        <w:tc>
          <w:tcPr>
            <w:tcW w:type="pct" w:w="3585"/>
            <w:tcBorders/>
            <w:vAlign w:val="center"/>
          </w:tcPr>
          <w:p>
            <w:pPr>
              <w:pStyle w:val="BodyText"/>
              <w:keepLines/>
              <w:spacing/>
              <w:jc w:val="center"/>
              <w:rPr/>
            </w:pPr>
            <w:r>
              <w:rPr/>
              <w:t xml:space="preserve">Time of setting, allowable deviation from control, h:min:</w:t>
            </w:r>
          </w:p>
        </w:tc>
        <w:tc>
          <w:tcPr>
            <w:tcW w:type="pct" w:w="1415"/>
            <w:tcBorders/>
            <w:vAlign w:val="center"/>
          </w:tcPr>
          <w:p>
            <w:pPr>
              <w:pStyle w:val="BodyText"/>
              <w:keepLines/>
              <w:spacing/>
              <w:jc w:val="center"/>
              <w:rPr/>
            </w:pPr>
          </w:p>
        </w:tc>
      </w:tr>
      <w:tr>
        <w:trPr>
          <w:cantSplit/>
          <w:jc w:val="left"/>
        </w:trPr>
        <w:tc>
          <w:tcPr>
            <w:tcW w:type="pct" w:w="3585"/>
            <w:tcBorders/>
            <w:vAlign w:val="center"/>
          </w:tcPr>
          <w:p>
            <w:pPr>
              <w:pStyle w:val="BodyText"/>
              <w:keepLines/>
              <w:spacing/>
              <w:jc w:val="center"/>
              <w:rPr/>
            </w:pPr>
            <w:r>
              <w:rPr/>
              <w:t xml:space="preserve">Initial: at least not more than</w:t>
            </w:r>
          </w:p>
        </w:tc>
        <w:tc>
          <w:tcPr>
            <w:tcW w:type="pct" w:w="1415"/>
            <w:tcBorders/>
            <w:vAlign w:val="center"/>
          </w:tcPr>
          <w:p>
            <w:pPr>
              <w:pStyle w:val="BodyText"/>
              <w:keepLines/>
              <w:spacing/>
              <w:jc w:val="center"/>
              <w:rPr/>
            </w:pPr>
            <w:r>
              <w:rPr/>
              <w:t xml:space="preserve">1:00</w:t>
            </w:r>
            <w:r>
              <w:rPr/>
              <w:t xml:space="preserve"> earlier nor </w:t>
            </w:r>
            <w:r>
              <w:rPr/>
              <w:t xml:space="preserve">1:30</w:t>
            </w:r>
            <w:r>
              <w:rPr/>
              <w:t xml:space="preserve"> later</w:t>
            </w:r>
          </w:p>
        </w:tc>
      </w:tr>
      <w:tr>
        <w:trPr>
          <w:cantSplit/>
          <w:jc w:val="left"/>
        </w:trPr>
        <w:tc>
          <w:tcPr>
            <w:tcW w:type="pct" w:w="3585"/>
            <w:tcBorders/>
            <w:vAlign w:val="center"/>
          </w:tcPr>
          <w:p>
            <w:pPr>
              <w:pStyle w:val="BodyText"/>
              <w:keepLines/>
              <w:spacing/>
              <w:jc w:val="center"/>
              <w:rPr/>
            </w:pPr>
            <w:r>
              <w:rPr/>
              <w:t xml:space="preserve">Final: at least not more than</w:t>
            </w:r>
          </w:p>
        </w:tc>
        <w:tc>
          <w:tcPr>
            <w:tcW w:type="pct" w:w="1415"/>
            <w:tcBorders/>
            <w:vAlign w:val="center"/>
          </w:tcPr>
          <w:p>
            <w:pPr>
              <w:pStyle w:val="BodyText"/>
              <w:keepLines/>
              <w:spacing/>
              <w:jc w:val="center"/>
              <w:rPr/>
            </w:pPr>
            <w:r>
              <w:rPr/>
              <w:t xml:space="preserve">1:00</w:t>
            </w:r>
            <w:r>
              <w:rPr/>
              <w:t xml:space="preserve"> earlier nor </w:t>
            </w:r>
            <w:r>
              <w:rPr/>
              <w:t xml:space="preserve">1:30</w:t>
            </w:r>
            <w:r>
              <w:rPr/>
              <w:t xml:space="preserve"> later</w:t>
            </w:r>
          </w:p>
        </w:tc>
      </w:tr>
      <w:tr>
        <w:trPr>
          <w:cantSplit/>
          <w:jc w:val="left"/>
        </w:trPr>
        <w:tc>
          <w:tcPr>
            <w:tcW w:type="pct" w:w="3585"/>
            <w:tcBorders/>
            <w:vAlign w:val="center"/>
          </w:tcPr>
          <w:p>
            <w:pPr>
              <w:pStyle w:val="BodyText"/>
              <w:keepLines/>
              <w:spacing/>
              <w:jc w:val="center"/>
              <w:rPr/>
            </w:pPr>
            <w:r>
              <w:rPr/>
              <w:t xml:space="preserve">Compressive Strength, min. % of control:</w:t>
            </w:r>
          </w:p>
        </w:tc>
        <w:tc>
          <w:tcPr>
            <w:tcW w:type="pct" w:w="1415"/>
            <w:tcBorders/>
            <w:vAlign w:val="center"/>
          </w:tcPr>
          <w:p>
            <w:pPr>
              <w:pStyle w:val="BodyText"/>
              <w:keepLines/>
              <w:spacing/>
              <w:jc w:val="center"/>
              <w:rPr/>
            </w:pPr>
            <w:r>
              <w:rPr/>
              <w:t xml:space="preserve">shall be 100 for all ages</w:t>
            </w:r>
          </w:p>
        </w:tc>
      </w:tr>
      <w:tr>
        <w:trPr>
          <w:cantSplit/>
          <w:jc w:val="left"/>
        </w:trPr>
        <w:tc>
          <w:tcPr>
            <w:tcW w:type="pct" w:w="3585"/>
            <w:tcBorders/>
            <w:vAlign w:val="center"/>
          </w:tcPr>
          <w:p>
            <w:pPr>
              <w:pStyle w:val="BodyText"/>
              <w:keepLines/>
              <w:spacing/>
              <w:jc w:val="center"/>
              <w:rPr/>
            </w:pPr>
            <w:r>
              <w:rPr/>
              <w:t xml:space="preserve">Flexural strength, min, % of control:</w:t>
            </w:r>
          </w:p>
        </w:tc>
        <w:tc>
          <w:tcPr>
            <w:tcW w:type="pct" w:w="1415"/>
            <w:tcBorders/>
            <w:vAlign w:val="center"/>
          </w:tcPr>
          <w:p>
            <w:pPr>
              <w:pStyle w:val="BodyText"/>
              <w:keepLines/>
              <w:spacing/>
              <w:jc w:val="center"/>
              <w:rPr/>
            </w:pPr>
            <w:r>
              <w:rPr/>
              <w:t xml:space="preserve">shall be 100 for all ages</w:t>
            </w:r>
          </w:p>
        </w:tc>
      </w:tr>
      <w:tr>
        <w:trPr>
          <w:cantSplit/>
          <w:jc w:val="left"/>
        </w:trPr>
        <w:tc>
          <w:tcPr>
            <w:tcW w:type="pct" w:w="3585"/>
            <w:tcBorders/>
            <w:vAlign w:val="center"/>
          </w:tcPr>
          <w:p>
            <w:pPr>
              <w:pStyle w:val="BodyText"/>
              <w:keepLines/>
              <w:spacing/>
              <w:jc w:val="center"/>
              <w:rPr/>
            </w:pPr>
            <w:r>
              <w:rPr/>
              <w:t xml:space="preserve">Length change, max Shrinkage (alternative Requirements):</w:t>
            </w:r>
          </w:p>
          <w:p>
            <w:pPr>
              <w:pStyle w:val="BodyText"/>
              <w:keepLines/>
              <w:spacing/>
              <w:jc w:val="center"/>
              <w:rPr/>
            </w:pPr>
            <w:r>
              <w:rPr/>
              <w:t xml:space="preserve">% of control</w:t>
            </w:r>
          </w:p>
        </w:tc>
        <w:tc>
          <w:tcPr>
            <w:tcW w:type="pct" w:w="1415"/>
            <w:tcBorders/>
            <w:vAlign w:val="center"/>
          </w:tcPr>
          <w:p>
            <w:pPr>
              <w:pStyle w:val="BodyText"/>
              <w:keepLines/>
              <w:spacing/>
              <w:jc w:val="center"/>
              <w:rPr/>
            </w:pPr>
            <w:r>
              <w:rPr/>
              <w:t xml:space="preserve">135</w:t>
            </w:r>
          </w:p>
        </w:tc>
      </w:tr>
      <w:tr>
        <w:trPr>
          <w:cantSplit/>
          <w:jc w:val="left"/>
        </w:trPr>
        <w:tc>
          <w:tcPr>
            <w:tcW w:type="pct" w:w="3585"/>
            <w:tcBorders/>
            <w:vAlign w:val="center"/>
          </w:tcPr>
          <w:p>
            <w:pPr>
              <w:pStyle w:val="BodyText"/>
              <w:keepLines/>
              <w:spacing/>
              <w:jc w:val="center"/>
              <w:rPr/>
            </w:pPr>
            <w:r>
              <w:rPr/>
              <w:t xml:space="preserve">Increase over control</w:t>
            </w:r>
          </w:p>
        </w:tc>
        <w:tc>
          <w:tcPr>
            <w:tcW w:type="pct" w:w="1415"/>
            <w:tcBorders/>
            <w:vAlign w:val="center"/>
          </w:tcPr>
          <w:p>
            <w:pPr>
              <w:pStyle w:val="BodyText"/>
              <w:keepLines/>
              <w:spacing/>
              <w:jc w:val="center"/>
              <w:rPr/>
            </w:pPr>
            <w:r>
              <w:rPr/>
              <w:t xml:space="preserve">0.010</w:t>
            </w:r>
          </w:p>
        </w:tc>
      </w:tr>
      <w:tr>
        <w:trPr>
          <w:cantSplit/>
          <w:jc w:val="left"/>
        </w:trPr>
        <w:tc>
          <w:tcPr>
            <w:tcW w:type="pct" w:w="3585"/>
            <w:tcBorders/>
            <w:vAlign w:val="center"/>
          </w:tcPr>
          <w:p>
            <w:pPr>
              <w:pStyle w:val="BodyText"/>
              <w:keepLines/>
              <w:spacing/>
              <w:jc w:val="center"/>
              <w:rPr/>
            </w:pPr>
            <w:r>
              <w:rPr/>
              <w:t xml:space="preserve">Relative durability factor, min</w:t>
            </w:r>
          </w:p>
        </w:tc>
        <w:tc>
          <w:tcPr>
            <w:tcW w:type="pct" w:w="1415"/>
            <w:tcBorders/>
            <w:vAlign w:val="center"/>
          </w:tcPr>
          <w:p>
            <w:pPr>
              <w:pStyle w:val="BodyText"/>
              <w:keepLines/>
              <w:spacing/>
              <w:jc w:val="center"/>
              <w:rPr/>
            </w:pPr>
            <w:r>
              <w:rPr/>
              <w:t xml:space="preserve">80</w:t>
            </w:r>
          </w:p>
        </w:tc>
      </w:tr>
    </w:tbl>
    <w:p>
      <w:pPr>
        <w:pStyle w:val="BodyText"/>
        <w:spacing/>
        <w:rPr>
          <w:szCs w:val="22"/>
        </w:rPr>
      </w:pPr>
    </w:p>
    <w:p>
      <w:pPr>
        <w:pStyle w:val="BodyText"/>
        <w:spacing/>
        <w:rPr>
          <w:szCs w:val="22"/>
        </w:rPr>
      </w:pPr>
      <w:r>
        <w:rPr>
          <w:szCs w:val="22"/>
        </w:rPr>
        <w:tab/>
        <w:t xml:space="preserve"/>
      </w:r>
      <w:r>
        <w:rPr>
          <w:szCs w:val="22"/>
        </w:rPr>
        <w:tab/>
        <w:t xml:space="preserve"/>
      </w:r>
      <w:r>
        <w:rPr>
          <w:szCs w:val="22"/>
        </w:rPr>
        <w:t xml:space="preserve">The following table lists the corrosion inhibiting test result limits for calcium nitrite concrete tested in accordance with ASTM G109:</w:t>
      </w:r>
    </w:p>
    <w:p>
      <w:pPr>
        <w:pStyle w:val="BodyText"/>
        <w:spacing/>
        <w:rPr>
          <w:szCs w:val="22"/>
        </w:rPr>
      </w:pPr>
    </w:p>
    <w:tbl>
      <w:tblPr>
        <w:tblW w:w="5000" w:type="pct"/>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left w:w="0" w:type="dxa"/>
          <w:right w:w="0" w:type="dxa"/>
        </w:tblCellMar>
        <w:tblLook w:val="0000" w:firstRow="0" w:lastRow="0" w:firstColumn="0" w:lastColumn="0" w:noHBand="0" w:noVBand="0"/>
      </w:tblPr>
      <w:tblGrid>
        <w:gridCol w:w="7253"/>
        <w:gridCol w:w="2107"/>
      </w:tblGrid>
      <w:tr>
        <w:trPr>
          <w:cantSplit/>
          <w:tblHeader/>
          <w:jc w:val="center"/>
        </w:trPr>
        <w:tc>
          <w:tcPr>
            <w:tcW w:type="pct" w:w="5000"/>
            <w:gridSpan w:val="2"/>
            <w:tcBorders/>
          </w:tcPr>
          <w:p>
            <w:pPr>
              <w:pStyle w:val="BodyText"/>
              <w:keepLines/>
              <w:spacing/>
              <w:jc w:val="center"/>
              <w:rPr>
                <w:szCs w:val="22"/>
              </w:rPr>
            </w:pPr>
            <w:r>
              <w:rPr>
                <w:szCs w:val="22"/>
              </w:rPr>
              <w:t xml:space="preserve">Maximum Allowable Test Results of Calcium Nitrite Concrete</w:t>
            </w:r>
          </w:p>
        </w:tc>
      </w:tr>
      <w:tr>
        <w:trPr>
          <w:cantSplit/>
          <w:jc w:val="center"/>
        </w:trPr>
        <w:tc>
          <w:tcPr>
            <w:tcW w:type="pct" w:w="3874"/>
            <w:tcBorders/>
            <w:vAlign w:val="center"/>
          </w:tcPr>
          <w:p>
            <w:pPr>
              <w:pStyle w:val="BodyText"/>
              <w:keepLines/>
              <w:spacing/>
              <w:jc w:val="center"/>
              <w:rPr>
                <w:szCs w:val="22"/>
              </w:rPr>
            </w:pPr>
            <w:r>
              <w:rPr>
                <w:szCs w:val="22"/>
              </w:rPr>
              <w:t xml:space="preserve">Measured average macrocell current any time during the test</w:t>
            </w:r>
          </w:p>
        </w:tc>
        <w:tc>
          <w:tcPr>
            <w:tcW w:type="pct" w:w="1126"/>
            <w:tcBorders/>
            <w:vAlign w:val="center"/>
          </w:tcPr>
          <w:p>
            <w:pPr>
              <w:pStyle w:val="BodyText"/>
              <w:keepLines/>
              <w:spacing/>
              <w:jc w:val="center"/>
              <w:rPr>
                <w:szCs w:val="22"/>
              </w:rPr>
            </w:pPr>
            <w:r>
              <w:rPr>
                <w:szCs w:val="22"/>
              </w:rPr>
              <w:t xml:space="preserve">10 μA</w:t>
            </w:r>
          </w:p>
        </w:tc>
      </w:tr>
      <w:tr>
        <w:trPr>
          <w:cantSplit/>
          <w:jc w:val="center"/>
        </w:trPr>
        <w:tc>
          <w:tcPr>
            <w:tcW w:type="pct" w:w="3874"/>
            <w:tcBorders/>
            <w:vAlign w:val="center"/>
          </w:tcPr>
          <w:p>
            <w:pPr>
              <w:pStyle w:val="BodyText"/>
              <w:keepLines/>
              <w:spacing/>
              <w:jc w:val="center"/>
              <w:rPr>
                <w:szCs w:val="22"/>
              </w:rPr>
            </w:pPr>
            <w:r>
              <w:rPr>
                <w:szCs w:val="22"/>
              </w:rPr>
              <w:t xml:space="preserve">Average macrocell current at test completion</w:t>
            </w:r>
          </w:p>
        </w:tc>
        <w:tc>
          <w:tcPr>
            <w:tcW w:type="pct" w:w="1126"/>
            <w:tcBorders/>
            <w:vAlign w:val="center"/>
          </w:tcPr>
          <w:p>
            <w:pPr>
              <w:pStyle w:val="BodyText"/>
              <w:keepLines/>
              <w:spacing/>
              <w:jc w:val="center"/>
              <w:rPr>
                <w:szCs w:val="22"/>
              </w:rPr>
            </w:pPr>
            <w:r>
              <w:rPr>
                <w:szCs w:val="22"/>
              </w:rPr>
              <w:t xml:space="preserve">2 μA</w:t>
            </w:r>
          </w:p>
        </w:tc>
      </w:tr>
      <w:tr>
        <w:trPr>
          <w:cantSplit/>
          <w:jc w:val="center"/>
        </w:trPr>
        <w:tc>
          <w:tcPr>
            <w:tcW w:type="pct" w:w="3874"/>
            <w:tcBorders/>
            <w:vAlign w:val="center"/>
          </w:tcPr>
          <w:p>
            <w:pPr>
              <w:pStyle w:val="BodyText"/>
              <w:keepLines/>
              <w:spacing/>
              <w:jc w:val="center"/>
              <w:rPr>
                <w:szCs w:val="22"/>
              </w:rPr>
            </w:pPr>
            <w:r>
              <w:rPr>
                <w:szCs w:val="22"/>
              </w:rPr>
              <w:t xml:space="preserve">Average visible corrosion measured as percent corroded area of control</w:t>
            </w:r>
          </w:p>
        </w:tc>
        <w:tc>
          <w:tcPr>
            <w:tcW w:type="pct" w:w="1126"/>
            <w:tcBorders/>
            <w:vAlign w:val="center"/>
          </w:tcPr>
          <w:p>
            <w:pPr>
              <w:pStyle w:val="BodyText"/>
              <w:keepLines/>
              <w:spacing/>
              <w:jc w:val="center"/>
              <w:rPr>
                <w:szCs w:val="22"/>
              </w:rPr>
            </w:pPr>
            <w:r>
              <w:rPr>
                <w:szCs w:val="22"/>
              </w:rPr>
              <w:t xml:space="preserve">85%</w:t>
            </w:r>
          </w:p>
        </w:tc>
      </w:tr>
    </w:tbl>
    <w:p>
      <w:pPr>
        <w:pStyle w:val="BodyText"/>
        <w:spacing/>
        <w:rPr>
          <w:szCs w:val="22"/>
        </w:rPr>
      </w:pPr>
    </w:p>
    <w:p>
      <w:pPr>
        <w:pStyle w:val="BodyText"/>
        <w:spacing/>
        <w:rPr>
          <w:szCs w:val="22"/>
        </w:rPr>
      </w:pPr>
    </w:p>
    <w:p>
      <w:pPr>
        <w:pStyle w:val="LeadInSentence"/>
        <w:spacing/>
        <w:rPr/>
      </w:pPr>
      <w:r>
        <w:rPr/>
        <w:t xml:space="preserve">SUBARTICLE 924-2.8 is deleted and the following is substituted:</w:t>
      </w:r>
    </w:p>
    <w:p>
      <w:pPr>
        <w:pStyle w:val="BodyText"/>
        <w:spacing/>
        <w:rPr/>
      </w:pPr>
      <w:r>
        <w:rPr>
          <w:szCs w:val="22"/>
        </w:rPr>
        <w:tab/>
        <w:t xml:space="preserve"/>
      </w:r>
      <w:r>
        <w:rPr>
          <w:b/>
        </w:rPr>
        <w:t xml:space="preserve">924-2.8 Type S (</w:t>
      </w:r>
      <w:r>
        <w:rPr>
          <w:b/>
        </w:rPr>
        <w:t xml:space="preserve">Specific Performance):</w:t>
      </w:r>
      <w:r>
        <w:rPr/>
        <w:t xml:space="preserve"> Specific performance admixtures shall meet the requirements of ASTM C494 for Type S admixtures except the compressive strength at one year, flexural strength and relative durability factor requirements are waived. The following Type S admixtures may be added to plastic concrete.</w:t>
      </w:r>
    </w:p>
    <w:p>
      <w:pPr>
        <w:pStyle w:val="BodyText"/>
        <w:spacing/>
        <w:rPr/>
      </w:pPr>
      <w:r>
        <w:rPr>
          <w:b/>
        </w:rPr>
        <w:tab/>
        <w:t xml:space="preserve"/>
      </w:r>
      <w:r>
        <w:rPr>
          <w:b/>
        </w:rPr>
        <w:tab/>
        <w:t xml:space="preserve"/>
      </w:r>
      <w:r>
        <w:rPr>
          <w:b/>
        </w:rPr>
        <w:t xml:space="preserve">924-2.8.1 Workability Retention: </w:t>
      </w:r>
      <w:r>
        <w:rPr/>
        <w:t xml:space="preserve">Workability retention admixtures are used to extend workability and slump life without retarding the setting time. The dosage rate used shall be based on the manufacturer’s recommendation in order to maintain 80% of the initial measured slump after 60 minutes.</w:t>
      </w:r>
    </w:p>
    <w:p>
      <w:pPr>
        <w:pStyle w:val="BodyText"/>
        <w:spacing/>
        <w:rPr/>
      </w:pPr>
      <w:r>
        <w:rPr/>
        <w:tab/>
        <w:t xml:space="preserve"/>
      </w:r>
      <w:r>
        <w:rPr/>
        <w:tab/>
        <w:t xml:space="preserve"/>
      </w:r>
      <w:r>
        <w:rPr>
          <w:b/>
        </w:rPr>
        <w:t xml:space="preserve">924-2.8.2 Shrinkage Reducing:</w:t>
      </w:r>
      <w:r>
        <w:rPr/>
        <w:t xml:space="preserve"> Shrinkage reducing admixtures are used to minimize the shrinkage of plastic and hardened concrete. The dosage rate used shall be based on the manufacturer’s recommendation and may vary for a specific application.</w:t>
      </w:r>
    </w:p>
    <w:p>
      <w:pPr>
        <w:pStyle w:val="BodyText"/>
        <w:spacing/>
        <w:rPr>
          <w:szCs w:val="22"/>
        </w:rPr>
      </w:pPr>
      <w:r>
        <w:rPr/>
        <w:tab/>
        <w:t xml:space="preserve"/>
      </w:r>
      <w:r>
        <w:rPr/>
        <w:tab/>
        <w:t xml:space="preserve"/>
      </w:r>
      <w:r>
        <w:rPr>
          <w:b/>
        </w:rPr>
        <w:t xml:space="preserve">924-2.8.3 Rheology Modifying:</w:t>
      </w:r>
      <w:r>
        <w:rPr/>
        <w:t xml:space="preserve"> Rheology modifying admixtures are used to maximize the rheology of plastic concrete. The dosage rate used shall be based on the manufactures recommendation and may vary for a specific application.</w:t>
      </w:r>
    </w:p>
    <w:p>
      <w:pPr>
        <w:pStyle w:val="BodyText"/>
        <w:spacing/>
        <w:rPr>
          <w:szCs w:val="22"/>
        </w:rPr>
      </w:pPr>
    </w:p>
    <w:p>
      <w:pPr>
        <w:pStyle w:val="BodyText"/>
        <w:spacing/>
        <w:rPr>
          <w:szCs w:val="22"/>
        </w:rPr>
      </w:pPr>
    </w:p>
    <w:sectPr>
      <w:headerReference w:type="first" r:id="rId1"/>
      <w:footerReference w:type="first" r:id="rId2"/>
      <w:headerReference w:type="even" r:id="rId3"/>
      <w:footerReference w:type="even" r:id="rId4"/>
      <w:headerReference w:type="default" r:id="rId5"/>
      <w:footerReference w:type="default" r:id="rId6"/>
      <w:endnotePr>
        <w:numFmt w:val="decimal"/>
      </w:endnotePr>
      <w:type w:val="continuous"/>
      <w:pgSz w:w="12240" w:h="15840"/>
      <w:pgMar w:top="1440" w:right="1440" w:bottom="1440" w:left="1440" w:header="720" w:footer="720" w:gutter="0"/>
      <w:pgBorders/>
      <w:pgNumType w:fmt="decimal"/>
      <w:cols w:num="1" w:equalWidth="1"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0"/>
    <w:family w:val="roman"/>
    <w:pitch w:val="variable"/>
    <w:sig w:usb0="E0002EFF" w:usb1="C000785B" w:usb2="00000009" w:usb3="00000000" w:csb0="000001FF" w:csb1="00000000"/>
  </w:font>
  <w:font w:name="Arial">
    <w:charset w:val="0"/>
    <w:family w:val="swiss"/>
    <w:pitch w:val="variable"/>
    <w:sig w:usb0="E0002EFF" w:usb1="C000785B" w:usb2="00000009" w:usb3="00000000" w:csb0="000001FF" w:csb1="00000000"/>
  </w:font>
  <w:font w:name="Goudy Old Style">
    <w:charset w:val="0"/>
    <w:family w:val="roman"/>
    <w:pitch w:val="variable"/>
    <w:sig w:usb0="00000003" w:usb1="00000000" w:usb2="00000000" w:usb3="00000000" w:csb0="00000001" w:csb1="00000000"/>
  </w:font>
  <w:font w:name="Tahoma">
    <w:charset w:val="0"/>
    <w:family w:val="swiss"/>
    <w:pitch w:val="variable"/>
    <w:sig w:usb0="E1002EFF" w:usb1="C000605B" w:usb2="00000029" w:usb3="00000000" w:csb0="000101FF" w:csb1="00000000"/>
  </w:font>
  <w:font w:name="Calibri">
    <w:charset w:val="0"/>
    <w:family w:val="swiss"/>
    <w:pitch w:val="variable"/>
    <w:sig w:usb0="E0002AFF" w:usb1="C000247B" w:usb2="00000009" w:usb3="00000000" w:csb0="000001FF" w:csb1="00000000"/>
  </w:font>
  <w:font w:name="Calibri Light">
    <w:charset w:val="0"/>
    <w:family w:val="swiss"/>
    <w:pitch w:val="variable"/>
    <w:sig w:usb0="E0002AFF" w:usb1="C000247B" w:usb2="00000009" w:usb3="00000000" w:csb0="000001FF" w:csb1="00000000"/>
  </w:font>
</w:fonts>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pStyle w:val="Footer"/>
      <w:spacing/>
      <w:rPr/>
    </w:pPr>
  </w:p>
</w:ftr>
</file>

<file path=word/footer4.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pStyle w:val="Footer"/>
      <w:spacing/>
      <w:rPr/>
    </w:pPr>
  </w:p>
</w:ftr>
</file>

<file path=word/footer6.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pStyle w:val="Footer"/>
      <w:spacing/>
      <w:rPr/>
    </w:pP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pStyle w:val="Header"/>
      <w:spacing/>
      <w:rPr/>
    </w:pPr>
  </w:p>
</w:hdr>
</file>

<file path=word/header3.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pStyle w:val="Header"/>
      <w:spacing/>
      <w:rPr/>
    </w:pPr>
  </w:p>
</w:hdr>
</file>

<file path=word/header5.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pStyle w:val="Header"/>
      <w:spacin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970AF9"/>
    <w:lvl w:ilvl="0">
      <w:start w:val="1"/>
      <w:numFmt w:val="decimal"/>
      <w:suff w:val="tab"/>
      <w:lvlText w:val="%1."/>
      <w:pPr>
        <w:tabs>
          <w:tab w:val="num" w:pos="360"/>
        </w:tabs>
        <w:spacing/>
        <w:ind w:left="360" w:hanging="360"/>
      </w:pPr>
      <w:rPr>
        <w:rFonts w:hint="default"/>
      </w:rPr>
    </w:lvl>
    <w:lvl w:ilvl="1">
      <w:start w:val="1"/>
      <w:numFmt w:val="decimal"/>
      <w:suff w:val="space"/>
      <w:lvlText w:val="%2"/>
      <w:pPr>
        <w:spacing/>
        <w:ind w:left="0" w:firstLine="720"/>
      </w:pPr>
      <w:rPr>
        <w:rFonts w:hint="default"/>
      </w:rPr>
    </w:lvl>
    <w:lvl w:ilvl="2">
      <w:start w:val="6"/>
      <w:numFmt w:val="decimal"/>
      <w:suff w:val="space"/>
      <w:lvlText w:val="%3"/>
      <w:pPr>
        <w:spacing/>
        <w:ind w:left="0" w:firstLine="720"/>
      </w:pPr>
      <w:rPr>
        <w:rFonts w:hint="default"/>
      </w:rPr>
    </w:lvl>
    <w:lvl w:ilvl="3">
      <w:start w:val="1"/>
      <w:numFmt w:val="decimal"/>
      <w:suff w:val="tab"/>
      <w:lvlText w:val="(%4)"/>
      <w:pPr>
        <w:tabs>
          <w:tab w:val="num" w:pos="1440"/>
        </w:tabs>
        <w:spacing/>
        <w:ind w:left="1440" w:hanging="360"/>
      </w:pPr>
      <w:rPr>
        <w:rFonts w:hint="default"/>
      </w:rPr>
    </w:lvl>
    <w:lvl w:ilvl="4">
      <w:start w:val="1"/>
      <w:numFmt w:val="lowerLetter"/>
      <w:suff w:val="tab"/>
      <w:lvlText w:val="(%5)"/>
      <w:pPr>
        <w:tabs>
          <w:tab w:val="num" w:pos="1800"/>
        </w:tabs>
        <w:spacing/>
        <w:ind w:left="1800" w:hanging="360"/>
      </w:pPr>
      <w:rPr>
        <w:rFonts w:hint="default"/>
      </w:rPr>
    </w:lvl>
    <w:lvl w:ilvl="5">
      <w:start w:val="1"/>
      <w:numFmt w:val="lowerRoman"/>
      <w:suff w:val="tab"/>
      <w:lvlText w:val="(%6)"/>
      <w:pPr>
        <w:tabs>
          <w:tab w:val="num" w:pos="2160"/>
        </w:tabs>
        <w:spacing/>
        <w:ind w:left="2160" w:hanging="360"/>
      </w:pPr>
      <w:rPr>
        <w:rFonts w:hint="default"/>
      </w:rPr>
    </w:lvl>
    <w:lvl w:ilvl="6">
      <w:start w:val="1"/>
      <w:numFmt w:val="decimal"/>
      <w:suff w:val="tab"/>
      <w:lvlText w:val="%7."/>
      <w:pPr>
        <w:tabs>
          <w:tab w:val="num" w:pos="2520"/>
        </w:tabs>
        <w:spacing/>
        <w:ind w:left="2520" w:hanging="360"/>
      </w:pPr>
      <w:rPr>
        <w:rFonts w:hint="default"/>
      </w:rPr>
    </w:lvl>
    <w:lvl w:ilvl="7">
      <w:start w:val="1"/>
      <w:numFmt w:val="lowerLetter"/>
      <w:suff w:val="tab"/>
      <w:lvlText w:val="%8."/>
      <w:pPr>
        <w:tabs>
          <w:tab w:val="num" w:pos="2880"/>
        </w:tabs>
        <w:spacing/>
        <w:ind w:left="2880" w:hanging="360"/>
      </w:pPr>
      <w:rPr>
        <w:rFonts w:hint="default"/>
      </w:rPr>
    </w:lvl>
    <w:lvl w:ilvl="8">
      <w:start w:val="1"/>
      <w:numFmt w:val="lowerRoman"/>
      <w:suff w:val="tab"/>
      <w:lvlText w:val="%9."/>
      <w:pPr>
        <w:tabs>
          <w:tab w:val="num" w:pos="3240"/>
        </w:tabs>
        <w:spacing/>
        <w:ind w:left="3240" w:hanging="360"/>
      </w:pPr>
      <w:rPr>
        <w:rFonts w:hint="default"/>
      </w:rPr>
    </w:lvl>
  </w:abstractNum>
  <w:abstractNum w:abstractNumId="1">
    <w:nsid w:val="2FDE1698"/>
    <w:lvl w:ilvl="0">
      <w:start w:val="1"/>
      <w:numFmt w:val="upperRoman"/>
      <w:suff w:val="tab"/>
      <w:lvlText w:val="%1."/>
      <w:pPr>
        <w:tabs>
          <w:tab w:val="num" w:pos="720"/>
        </w:tabs>
        <w:spacing/>
        <w:ind w:left="360" w:hanging="360"/>
      </w:pPr>
      <w:rPr>
        <w:rFonts w:hint="default"/>
      </w:rPr>
    </w:lvl>
    <w:lvl w:ilvl="1">
      <w:start w:val="1"/>
      <w:numFmt w:val="decimal"/>
      <w:suff w:val="tab"/>
      <w:lvlText w:val="%1.%2."/>
      <w:pPr>
        <w:tabs>
          <w:tab w:val="num" w:pos="792"/>
        </w:tabs>
        <w:spacing/>
        <w:ind w:left="792" w:hanging="432"/>
      </w:pPr>
      <w:rPr>
        <w:rFonts w:hint="default"/>
      </w:rPr>
    </w:lvl>
    <w:lvl w:ilvl="2">
      <w:start w:val="1"/>
      <w:numFmt w:val="upperLetter"/>
      <w:pStyle w:val="Heading3"/>
      <w:suff w:val="tab"/>
      <w:lvlText w:val="%1.%2.%3."/>
      <w:pPr>
        <w:tabs>
          <w:tab w:val="num" w:pos="1440"/>
        </w:tabs>
        <w:spacing/>
        <w:ind w:left="1224" w:hanging="504"/>
      </w:pPr>
      <w:rPr>
        <w:rFonts w:hint="default"/>
      </w:rPr>
    </w:lvl>
    <w:lvl w:ilvl="3">
      <w:start w:val="1"/>
      <w:numFmt w:val="lowerRoman"/>
      <w:suff w:val="tab"/>
      <w:lvlText w:val="%1.%2.%3.%4."/>
      <w:pPr>
        <w:tabs>
          <w:tab w:val="num" w:pos="2160"/>
        </w:tabs>
        <w:spacing/>
        <w:ind w:left="1728" w:hanging="648"/>
      </w:pPr>
      <w:rPr>
        <w:rFonts w:hint="default"/>
      </w:rPr>
    </w:lvl>
    <w:lvl w:ilvl="4">
      <w:start w:val="1"/>
      <w:numFmt w:val="decimal"/>
      <w:suff w:val="tab"/>
      <w:lvlText w:val="%1.%2.%3.%4.%5."/>
      <w:pPr>
        <w:tabs>
          <w:tab w:val="num" w:pos="2520"/>
        </w:tabs>
        <w:spacing/>
        <w:ind w:left="2232" w:hanging="792"/>
      </w:pPr>
      <w:rPr>
        <w:rFonts w:hint="default"/>
      </w:rPr>
    </w:lvl>
    <w:lvl w:ilvl="5">
      <w:start w:val="1"/>
      <w:numFmt w:val="decimal"/>
      <w:suff w:val="tab"/>
      <w:lvlText w:val="%1.%2.%3.%4.%5.%6."/>
      <w:pPr>
        <w:tabs>
          <w:tab w:val="num" w:pos="2880"/>
        </w:tabs>
        <w:spacing/>
        <w:ind w:left="2736" w:hanging="936"/>
      </w:pPr>
      <w:rPr>
        <w:rFonts w:hint="default"/>
      </w:rPr>
    </w:lvl>
    <w:lvl w:ilvl="6">
      <w:start w:val="1"/>
      <w:numFmt w:val="decimal"/>
      <w:suff w:val="tab"/>
      <w:lvlText w:val="%1.%2.%3.%4.%5.%6.%7."/>
      <w:pPr>
        <w:tabs>
          <w:tab w:val="num" w:pos="3600"/>
        </w:tabs>
        <w:spacing/>
        <w:ind w:left="3240" w:hanging="1080"/>
      </w:pPr>
      <w:rPr>
        <w:rFonts w:hint="default"/>
      </w:rPr>
    </w:lvl>
    <w:lvl w:ilvl="7">
      <w:start w:val="1"/>
      <w:numFmt w:val="decimal"/>
      <w:suff w:val="tab"/>
      <w:lvlText w:val="%1.%2.%3.%4.%5.%6.%7.%8."/>
      <w:pPr>
        <w:tabs>
          <w:tab w:val="num" w:pos="3960"/>
        </w:tabs>
        <w:spacing/>
        <w:ind w:left="3744" w:hanging="1224"/>
      </w:pPr>
      <w:rPr>
        <w:rFonts w:hint="default"/>
      </w:rPr>
    </w:lvl>
    <w:lvl w:ilvl="8">
      <w:start w:val="1"/>
      <w:numFmt w:val="decimal"/>
      <w:suff w:val="tab"/>
      <w:lvlText w:val="%1.%2.%3.%4.%5.%6.%7.%8.%9."/>
      <w:pPr>
        <w:tabs>
          <w:tab w:val="num" w:pos="4680"/>
        </w:tabs>
        <w:spacing/>
        <w:ind w:left="4320" w:hanging="1440"/>
      </w:pPr>
      <w:rPr>
        <w:rFonts w:hint="default"/>
      </w:rPr>
    </w:lvl>
  </w:abstractNum>
  <w:abstractNum w:abstractNumId="2">
    <w:nsid w:val="3B0E581C"/>
    <w:lvl w:ilvl="0">
      <w:start w:val="1"/>
      <w:numFmt w:val="decimal"/>
      <w:pStyle w:val="Section8"/>
      <w:suff w:val="tab"/>
      <w:lvlText w:val="8-13.%1"/>
      <w:pPr>
        <w:tabs>
          <w:tab w:val="num" w:pos="1440"/>
        </w:tabs>
        <w:spacing/>
        <w:ind w:left="0" w:firstLine="720"/>
      </w:pPr>
      <w:rPr>
        <w:rFonts w:ascii="Times New Roman" w:hAnsi="Times New Roman" w:eastAsia="Times New Roman" w:cs="Times New Roman" w:hint="default"/>
        <w:b/>
        <w:i w:val="0"/>
        <w:sz w:val="22"/>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abstractNum w:abstractNumId="3">
    <w:nsid w:val="47321040"/>
    <w:lvl w:ilvl="0">
      <w:start w:val="1"/>
      <w:numFmt w:val="decimal"/>
      <w:pStyle w:val="Section8"/>
      <w:suff w:val="tab"/>
      <w:lvlText w:val="8-13.%1"/>
      <w:pPr>
        <w:tabs>
          <w:tab w:val="num" w:pos="2160"/>
        </w:tabs>
        <w:spacing/>
        <w:ind w:left="0" w:firstLine="1440"/>
      </w:pPr>
      <w:rPr>
        <w:rFonts w:ascii="Times New Roman" w:hAnsi="Times New Roman" w:eastAsia="Times New Roman" w:cs="Times New Roman" w:hint="default"/>
        <w:b/>
        <w:i w:val="0"/>
        <w:sz w:val="22"/>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abstractNum w:abstractNumId="4">
    <w:nsid w:val="4C4837EC"/>
    <w:lvl w:ilvl="0">
      <w:start w:val="1"/>
      <w:numFmt w:val="decimal"/>
      <w:suff w:val="tab"/>
      <w:lvlText w:val="(%1)"/>
      <w:pPr>
        <w:tabs>
          <w:tab w:val="num" w:pos="1080"/>
        </w:tabs>
        <w:spacing/>
        <w:ind w:left="1080" w:hanging="360"/>
      </w:pPr>
      <w:rPr>
        <w:rFonts w:hint="default"/>
      </w:rPr>
    </w:lvl>
    <w:lvl w:ilvl="1">
      <w:start w:val="0"/>
      <w:numFmt w:val="decimal"/>
      <w:suff w:val="tab"/>
      <w:lvlText w:val=""/>
      <w:pPr>
        <w:spacing/>
      </w:pPr>
      <w:rPr/>
    </w:lvl>
    <w:lvl w:ilvl="2">
      <w:start w:val="0"/>
      <w:numFmt w:val="decimal"/>
      <w:suff w:val="tab"/>
      <w:lvlText w:val=""/>
      <w:pPr>
        <w:spacing/>
      </w:pPr>
      <w:rPr/>
    </w:lvl>
    <w:lvl w:ilvl="3">
      <w:start w:val="0"/>
      <w:numFmt w:val="decimal"/>
      <w:suff w:val="tab"/>
      <w:lvlText w:val=""/>
      <w:pPr>
        <w:spacing/>
      </w:pPr>
      <w:rPr/>
    </w:lvl>
    <w:lvl w:ilvl="4">
      <w:start w:val="0"/>
      <w:numFmt w:val="decimal"/>
      <w:suff w:val="tab"/>
      <w:lvlText w:val=""/>
      <w:pPr>
        <w:spacing/>
      </w:pPr>
      <w:rPr/>
    </w:lvl>
    <w:lvl w:ilvl="5">
      <w:start w:val="0"/>
      <w:numFmt w:val="decimal"/>
      <w:suff w:val="tab"/>
      <w:lvlText w:val=""/>
      <w:pPr>
        <w:spacing/>
      </w:pPr>
      <w:rPr/>
    </w:lvl>
    <w:lvl w:ilvl="6">
      <w:start w:val="0"/>
      <w:numFmt w:val="decimal"/>
      <w:suff w:val="tab"/>
      <w:lvlText w:val=""/>
      <w:pPr>
        <w:spacing/>
      </w:pPr>
      <w:rPr/>
    </w:lvl>
    <w:lvl w:ilvl="7">
      <w:start w:val="0"/>
      <w:numFmt w:val="decimal"/>
      <w:suff w:val="tab"/>
      <w:lvlText w:val=""/>
      <w:pPr>
        <w:spacing/>
      </w:pPr>
      <w:rPr/>
    </w:lvl>
    <w:lvl w:ilvl="8">
      <w:start w:val="0"/>
      <w:numFmt w:val="decimal"/>
      <w:suff w:val="tab"/>
      <w:lvlText w:val=""/>
      <w:pPr>
        <w:spacing/>
      </w:pPr>
      <w:rPr/>
    </w:lvl>
  </w:abstractNum>
  <w:abstractNum w:abstractNumId="5">
    <w:nsid w:val="53582DB7"/>
    <w:lvl w:ilvl="0">
      <w:start w:val="6"/>
      <w:numFmt w:val="decimal"/>
      <w:pStyle w:val="Section102"/>
      <w:suff w:val="tab"/>
      <w:lvlText w:val="102-8.%1"/>
      <w:lvlJc w:val="right"/>
      <w:pPr>
        <w:tabs>
          <w:tab w:val="num" w:pos="1800"/>
        </w:tabs>
        <w:spacing/>
        <w:ind w:left="0" w:firstLine="1440"/>
      </w:pPr>
      <w:rPr>
        <w:rFonts w:ascii="Times New Roman" w:hAnsi="Times New Roman" w:eastAsia="Times New Roman" w:cs="Times New Roman" w:hint="default"/>
        <w:b/>
        <w:i w:val="0"/>
        <w:sz w:val="22"/>
      </w:rPr>
    </w:lvl>
    <w:lvl w:ilvl="1">
      <w:start w:val="1"/>
      <w:numFmt w:val="lowerLetter"/>
      <w:suff w:val="tab"/>
      <w:lvlText w:val="%2."/>
      <w:pPr>
        <w:tabs>
          <w:tab w:val="num" w:pos="2160"/>
        </w:tabs>
        <w:spacing/>
        <w:ind w:left="2160" w:hanging="360"/>
      </w:pPr>
      <w:rPr/>
    </w:lvl>
    <w:lvl w:ilvl="2">
      <w:start w:val="1"/>
      <w:numFmt w:val="lowerRoman"/>
      <w:suff w:val="tab"/>
      <w:lvlText w:val="%3."/>
      <w:lvlJc w:val="right"/>
      <w:pPr>
        <w:tabs>
          <w:tab w:val="num" w:pos="2880"/>
        </w:tabs>
        <w:spacing/>
        <w:ind w:left="2880" w:hanging="180"/>
      </w:pPr>
      <w:rPr/>
    </w:lvl>
    <w:lvl w:ilvl="3">
      <w:start w:val="1"/>
      <w:numFmt w:val="decimal"/>
      <w:suff w:val="tab"/>
      <w:lvlText w:val="%4."/>
      <w:pPr>
        <w:tabs>
          <w:tab w:val="num" w:pos="3600"/>
        </w:tabs>
        <w:spacing/>
        <w:ind w:left="3600" w:hanging="360"/>
      </w:pPr>
      <w:rPr/>
    </w:lvl>
    <w:lvl w:ilvl="4">
      <w:start w:val="1"/>
      <w:numFmt w:val="lowerLetter"/>
      <w:suff w:val="tab"/>
      <w:lvlText w:val="%5."/>
      <w:pPr>
        <w:tabs>
          <w:tab w:val="num" w:pos="4320"/>
        </w:tabs>
        <w:spacing/>
        <w:ind w:left="4320" w:hanging="360"/>
      </w:pPr>
      <w:rPr/>
    </w:lvl>
    <w:lvl w:ilvl="5">
      <w:start w:val="1"/>
      <w:numFmt w:val="lowerRoman"/>
      <w:suff w:val="tab"/>
      <w:lvlText w:val="%6."/>
      <w:lvlJc w:val="right"/>
      <w:pPr>
        <w:tabs>
          <w:tab w:val="num" w:pos="5040"/>
        </w:tabs>
        <w:spacing/>
        <w:ind w:left="5040" w:hanging="180"/>
      </w:pPr>
      <w:rPr/>
    </w:lvl>
    <w:lvl w:ilvl="6">
      <w:start w:val="1"/>
      <w:numFmt w:val="decimal"/>
      <w:suff w:val="tab"/>
      <w:lvlText w:val="%7."/>
      <w:pPr>
        <w:tabs>
          <w:tab w:val="num" w:pos="5760"/>
        </w:tabs>
        <w:spacing/>
        <w:ind w:left="5760" w:hanging="360"/>
      </w:pPr>
      <w:rPr/>
    </w:lvl>
    <w:lvl w:ilvl="7">
      <w:start w:val="1"/>
      <w:numFmt w:val="lowerLetter"/>
      <w:suff w:val="tab"/>
      <w:lvlText w:val="%8."/>
      <w:pPr>
        <w:tabs>
          <w:tab w:val="num" w:pos="6480"/>
        </w:tabs>
        <w:spacing/>
        <w:ind w:left="6480" w:hanging="360"/>
      </w:pPr>
      <w:rPr/>
    </w:lvl>
    <w:lvl w:ilvl="8">
      <w:start w:val="1"/>
      <w:numFmt w:val="lowerRoman"/>
      <w:suff w:val="tab"/>
      <w:lvlText w:val="%9."/>
      <w:lvlJc w:val="right"/>
      <w:pPr>
        <w:tabs>
          <w:tab w:val="num" w:pos="7200"/>
        </w:tabs>
        <w:spacing/>
        <w:ind w:left="7200" w:hanging="180"/>
      </w:pPr>
      <w:rPr/>
    </w:lvl>
  </w:abstractNum>
  <w:abstractNum w:abstractNumId="6">
    <w:nsid w:val="684D2E1E"/>
    <w:lvl w:ilvl="0">
      <w:start w:val="6"/>
      <w:numFmt w:val="decimal"/>
      <w:pStyle w:val="Section102"/>
      <w:suff w:val="tab"/>
      <w:lvlText w:val="102-8.%1"/>
      <w:lvlJc w:val="right"/>
      <w:pPr>
        <w:tabs>
          <w:tab w:val="num" w:pos="1800"/>
        </w:tabs>
        <w:spacing/>
        <w:ind w:left="0" w:firstLine="1440"/>
      </w:pPr>
      <w:rPr>
        <w:rFonts w:ascii="Times New Roman" w:hAnsi="Times New Roman" w:eastAsia="Times New Roman" w:cs="Times New Roman" w:hint="default"/>
        <w:b/>
        <w:i w:val="0"/>
        <w:sz w:val="22"/>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view w:val="web"/>
  <w:zoom w:val="none" w:percent="100"/>
  <w:embedSystemFonts xmlns:w="http://schemas.openxmlformats.org/wordprocessingml/2006/main"/>
  <w:bordersDoNotSurroundHeader/>
  <w:bordersDoNotSurroundFooter/>
  <w:attachedTemplate r:id="rId1"/>
  <w:linkStyles/>
  <w:stylePaneFormatFilter xmlns:w="http://schemas.openxmlformats.org/wordprocessingml/2006/main"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xmlns:w="http://schemas.openxmlformats.org/wordprocessingml/2006/main" w:val="120"/>
  <w:drawingGridVerticalSpacing xmlns:w="http://schemas.openxmlformats.org/wordprocessingml/2006/main" w:val="120"/>
  <w:displayHorizontalDrawingGridEvery xmlns:w="http://schemas.openxmlformats.org/wordprocessingml/2006/main" w:val="0"/>
  <w:displayVerticalDrawingGridEvery xmlns:w="http://schemas.openxmlformats.org/wordprocessingml/2006/main" w:val="3"/>
  <w:doNotShadeFormData/>
  <w:characterSpacingControl xmlns:w="http://schemas.openxmlformats.org/wordprocessingml/2006/main" w:val="compressPunctuation"/>
  <w:endnotePr>
    <w:numFmt w:val="decimal"/>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martTagType xmlns:w="http://schemas.openxmlformats.org/wordprocessingml/2006/main" w:namespaceuri="urn:schemas-microsoft-com:office:smarttags" w:name="time"/>
  <w:decimalSymbol xmlns:w="http://schemas.openxmlformats.org/wordprocessingml/2006/main" w:val="."/>
  <w:listSeparator xmlns:w="http://schemas.openxmlformats.org/wordprocessingml/2006/main"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imes New Roman" w:cs="Times New Roman"/>
        <w:lang w:val="en-US" w:eastAsia="en-US" w:bidi="ar-SA"/>
      </w:rPr>
    </w:rPrDefault>
    <w:pPrDefault>
      <w:pPr>
        <w:spacing/>
      </w:pPr>
    </w:pPrDefault>
  </w:docDefaults>
  <w:style w:type="table" w:styleId="TableGrid">
    <w:name w:val="Table Grid"/>
    <w:basedOn w:val="TableNormal"/>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 w:default="1">
    <w:name w:val="Normal"/>
    <w:next w:val="Normal"/>
    <w:qFormat/>
    <w:pPr>
      <w:widowControl w:val="false"/>
      <w:autoSpaceDE w:val="false"/>
      <w:autoSpaceDN w:val="false"/>
      <w:adjustRightInd w:val="false"/>
      <w:spacing/>
    </w:pPr>
    <w:rPr>
      <w:sz w:val="24"/>
      <w:szCs w:val="24"/>
    </w:rPr>
  </w:style>
  <w:style w:type="paragraph" w:styleId="Heading1">
    <w:name w:val="Heading 1"/>
    <w:basedOn w:val="Heading2"/>
    <w:next w:val="Normal"/>
    <w:qFormat/>
    <w:pPr>
      <w:spacing/>
      <w:outlineLvl w:val="0"/>
    </w:pPr>
    <w:rPr>
      <w:bCs w:val="0"/>
      <w:kern w:val="32"/>
      <w:sz w:val="96"/>
      <w:szCs w:val="32"/>
    </w:rPr>
  </w:style>
  <w:style w:type="paragraph" w:styleId="Heading2">
    <w:name w:val="Heading 2"/>
    <w:basedOn w:val="Article"/>
    <w:next w:val="Dates"/>
    <w:qFormat/>
    <w:pPr>
      <w:spacing w:after="60"/>
      <w:outlineLvl w:val="1"/>
    </w:pPr>
    <w:rPr>
      <w:rFonts w:cs="Arial"/>
      <w:bCs/>
      <w:iCs/>
      <w:caps/>
      <w:szCs w:val="28"/>
    </w:rPr>
  </w:style>
  <w:style w:type="paragraph" w:styleId="Heading3">
    <w:name w:val="Heading 3"/>
    <w:basedOn w:val="Normal"/>
    <w:next w:val="Normal"/>
    <w:link w:val="Heading3Char"/>
    <w:qFormat/>
    <w:numPr>
      <w:ilvl w:val="2"/>
      <w:numId w:val="2"/>
    </w:numPr>
    <w:pPr>
      <w:keepNext/>
      <w:numPr>
        <w:ilvl w:val="2"/>
        <w:numId w:val="2"/>
      </w:numPr>
      <w:spacing w:before="240" w:after="60"/>
      <w:outlineLvl w:val="2"/>
    </w:pPr>
    <w:rPr>
      <w:rFonts w:cs="Arial"/>
      <w:bCs/>
      <w:szCs w:val="26"/>
    </w:rPr>
  </w:style>
  <w:style w:type="paragraph" w:styleId="Heading4">
    <w:name w:val="Heading 4"/>
    <w:basedOn w:val="Normal"/>
    <w:next w:val="Normal"/>
    <w:link w:val="Heading4Char"/>
    <w:qFormat/>
    <w:pPr>
      <w:keepNext/>
      <w:spacing/>
      <w:jc w:val="center"/>
      <w:outlineLvl w:val="3"/>
    </w:pPr>
    <w:rPr>
      <w:rFonts w:ascii="Goudy Old Style" w:hAnsi="Goudy Old Style" w:eastAsia="Goudy Old Style" w:cs="Goudy Old Style"/>
      <w:sz w:val="36"/>
    </w:rPr>
  </w:style>
  <w:style w:type="paragraph" w:styleId="Heading8">
    <w:name w:val="Heading 8"/>
    <w:basedOn w:val="Article"/>
    <w:next w:val="Normal"/>
    <w:qFormat/>
    <w:pPr>
      <w:spacing w:after="60"/>
      <w:outlineLvl w:val="7"/>
    </w:pPr>
    <w:rPr>
      <w:iCs/>
    </w:rPr>
  </w:style>
  <w:style w:type="paragraph" w:styleId="Heading9">
    <w:name w:val="Heading 9"/>
    <w:basedOn w:val="Article"/>
    <w:next w:val="Normal"/>
    <w:qFormat/>
    <w:pPr>
      <w:spacing w:after="60"/>
      <w:outlineLvl w:val="8"/>
    </w:pPr>
    <w:rPr>
      <w:rFonts w:ascii="Arial" w:hAnsi="Arial" w:eastAsia="Arial" w:cs="Arial"/>
      <w:szCs w:val="22"/>
    </w:rPr>
  </w:style>
  <w:style w:type="character" w:styleId="DefaultParagraphFont" w:default="1">
    <w:name w:val="Default Paragraph Font"/>
    <w:semiHidden/>
    <w:rPr/>
  </w:style>
  <w:style w:type="table" w:styleId="TableNormal" w:default="1">
    <w:name w:val="Normal Table"/>
    <w:semiHidden/>
    <w:unhideWhenUsed/>
    <w:tblPr>
      <w:tblInd w:w="0" w:type="dxa"/>
      <w:tblCellMar>
        <w:top w:w="0" w:type="dxa"/>
        <w:left w:w="108" w:type="dxa"/>
        <w:bottom w:w="0" w:type="dxa"/>
        <w:right w:w="108" w:type="dxa"/>
      </w:tblCellMar>
    </w:tblPr>
  </w:style>
  <w:style w:type="character" w:styleId="NoList">
    <w:name w:val="No List"/>
    <w:semiHidden/>
    <w:rPr/>
  </w:style>
  <w:style w:type="paragraph" w:styleId="Article" w:customStyle="1">
    <w:name w:val="Article"/>
    <w:next w:val="BodyText"/>
    <w:pPr>
      <w:keepNext/>
      <w:tabs>
        <w:tab w:val="left" w:pos="720"/>
      </w:tabs>
      <w:spacing w:before="240"/>
    </w:pPr>
    <w:rPr>
      <w:b/>
      <w:sz w:val="24"/>
    </w:rPr>
  </w:style>
  <w:style w:type="paragraph" w:styleId="Header">
    <w:name w:val="Header"/>
    <w:basedOn w:val="Normal"/>
    <w:next w:val="Normal"/>
    <w:pPr>
      <w:tabs>
        <w:tab w:val="center" w:pos="4320"/>
        <w:tab w:val="right" w:pos="8640"/>
      </w:tabs>
      <w:spacing/>
    </w:pPr>
    <w:rPr/>
  </w:style>
  <w:style w:type="paragraph" w:styleId="Footer">
    <w:name w:val="Footer"/>
    <w:basedOn w:val="Normal"/>
    <w:next w:val="Normal"/>
    <w:pPr>
      <w:tabs>
        <w:tab w:val="center" w:pos="4320"/>
        <w:tab w:val="right" w:pos="8640"/>
      </w:tabs>
      <w:spacing/>
    </w:pPr>
    <w:rPr>
      <w:sz w:val="22"/>
    </w:rPr>
  </w:style>
  <w:style w:type="paragraph" w:styleId="SectionHeading" w:customStyle="1">
    <w:name w:val="Section Heading"/>
    <w:next w:val="Article"/>
    <w:pPr>
      <w:keepNext/>
      <w:spacing w:before="120"/>
      <w:jc w:val="center"/>
    </w:pPr>
    <w:rPr>
      <w:b/>
      <w:caps/>
      <w:sz w:val="24"/>
    </w:rPr>
  </w:style>
  <w:style w:type="paragraph" w:styleId="Subarticle" w:customStyle="1">
    <w:name w:val="Subarticle"/>
    <w:pPr>
      <w:keepNext/>
      <w:spacing/>
      <w:ind w:firstLine="720"/>
    </w:pPr>
    <w:rPr>
      <w:b/>
      <w:sz w:val="24"/>
      <w:szCs w:val="24"/>
    </w:rPr>
  </w:style>
  <w:style w:type="paragraph" w:styleId="LeadInSentence" w:customStyle="1">
    <w:name w:val="Lead In Sentence"/>
    <w:next w:val="BodyText"/>
    <w:pPr>
      <w:keepNext/>
      <w:spacing w:after="240"/>
      <w:ind w:firstLine="720"/>
    </w:pPr>
    <w:rPr>
      <w:sz w:val="24"/>
    </w:rPr>
  </w:style>
  <w:style w:type="paragraph" w:styleId="BodyText">
    <w:name w:val="Body Text"/>
    <w:next w:val="Normal"/>
    <w:link w:val="BodyTextChar"/>
    <w:pPr>
      <w:tabs>
        <w:tab w:val="left" w:pos="720"/>
      </w:tabs>
      <w:spacing/>
    </w:pPr>
    <w:rPr>
      <w:sz w:val="24"/>
    </w:rPr>
  </w:style>
  <w:style w:type="paragraph" w:styleId="TOC2">
    <w:name w:val="TOC 2"/>
    <w:basedOn w:val="Normal"/>
    <w:next w:val="Normal"/>
    <w:pPr>
      <w:spacing/>
      <w:ind w:left="1080" w:right="1080" w:hanging="720"/>
    </w:pPr>
    <w:rPr/>
  </w:style>
  <w:style w:type="paragraph" w:styleId="Section8" w:customStyle="1">
    <w:name w:val="Section 8"/>
    <w:basedOn w:val="Heading8"/>
    <w:next w:val="Dates"/>
    <w:numPr>
      <w:ilvl w:val="0"/>
      <w:numId w:val="3"/>
    </w:numPr>
    <w:pPr>
      <w:keepLines/>
      <w:numPr>
        <w:ilvl w:val="0"/>
        <w:numId w:val="3"/>
      </w:numPr>
      <w:spacing w:before="0" w:after="0"/>
    </w:pPr>
    <w:rPr>
      <w:szCs w:val="24"/>
    </w:rPr>
  </w:style>
  <w:style w:type="paragraph" w:styleId="Section1020" w:customStyle="1">
    <w:name w:val="Section 102"/>
    <w:basedOn w:val="Heading9"/>
    <w:numPr>
      <w:ilvl w:val="0"/>
      <w:numId w:val="7"/>
    </w:numPr>
    <w:pPr>
      <w:widowControl w:val="false"/>
      <w:numPr>
        <w:ilvl w:val="0"/>
        <w:numId w:val="7"/>
      </w:numPr>
      <w:tabs>
        <w:tab w:val="left" w:pos="720"/>
      </w:tabs>
      <w:autoSpaceDE w:val="false"/>
      <w:autoSpaceDN w:val="false"/>
      <w:adjustRightInd w:val="false"/>
      <w:spacing w:before="0" w:after="0"/>
    </w:pPr>
    <w:rPr>
      <w:rFonts w:ascii="Times New Roman" w:hAnsi="Times New Roman" w:eastAsia="Times New Roman" w:cs="Times New Roman"/>
    </w:rPr>
  </w:style>
  <w:style w:type="paragraph" w:styleId="TOC1">
    <w:name w:val="TOC 1"/>
    <w:basedOn w:val="Normal"/>
    <w:next w:val="Normal"/>
    <w:pPr>
      <w:spacing w:before="120" w:after="120"/>
    </w:pPr>
    <w:rPr>
      <w:b/>
    </w:rPr>
  </w:style>
  <w:style w:type="paragraph" w:styleId="TOC3">
    <w:name w:val="TOC 3"/>
    <w:basedOn w:val="Normal"/>
    <w:next w:val="Normal"/>
    <w:pPr>
      <w:spacing/>
      <w:ind w:left="360"/>
    </w:pPr>
    <w:rPr/>
  </w:style>
  <w:style w:type="paragraph" w:styleId="TOC4">
    <w:name w:val="TOC 4"/>
    <w:basedOn w:val="Normal"/>
    <w:next w:val="Normal"/>
    <w:pPr>
      <w:spacing/>
      <w:ind w:left="720"/>
    </w:pPr>
    <w:rPr/>
  </w:style>
  <w:style w:type="paragraph" w:styleId="TOC5">
    <w:name w:val="TOC 5"/>
    <w:basedOn w:val="Normal"/>
    <w:next w:val="Normal"/>
    <w:pPr>
      <w:spacing/>
      <w:ind w:left="960"/>
    </w:pPr>
    <w:rPr/>
  </w:style>
  <w:style w:type="paragraph" w:styleId="TOC6">
    <w:name w:val="TOC 6"/>
    <w:basedOn w:val="Normal"/>
    <w:next w:val="Normal"/>
    <w:pPr>
      <w:spacing/>
      <w:ind w:left="1200"/>
    </w:pPr>
    <w:rPr/>
  </w:style>
  <w:style w:type="paragraph" w:styleId="TOC7">
    <w:name w:val="TOC 7"/>
    <w:basedOn w:val="Normal"/>
    <w:next w:val="Normal"/>
    <w:pPr>
      <w:spacing/>
      <w:ind w:left="1440"/>
    </w:pPr>
    <w:rPr/>
  </w:style>
  <w:style w:type="paragraph" w:styleId="TOC8">
    <w:name w:val="TOC 8"/>
    <w:basedOn w:val="Normal"/>
    <w:next w:val="Normal"/>
    <w:pPr>
      <w:spacing/>
      <w:ind w:left="1680"/>
    </w:pPr>
    <w:rPr/>
  </w:style>
  <w:style w:type="paragraph" w:styleId="TOC9">
    <w:name w:val="TOC 9"/>
    <w:basedOn w:val="Normal"/>
    <w:next w:val="Normal"/>
    <w:pPr>
      <w:spacing/>
      <w:ind w:left="1920"/>
    </w:pPr>
    <w:rPr/>
  </w:style>
  <w:style w:type="character" w:styleId="PageNumber">
    <w:name w:val="Page Number"/>
    <w:basedOn w:val="DefaultParagraphFont"/>
    <w:rPr/>
  </w:style>
  <w:style w:type="paragraph" w:styleId="Section102" w:customStyle="1">
    <w:name w:val="Section102"/>
    <w:basedOn w:val="Section80"/>
    <w:numPr>
      <w:ilvl w:val="0"/>
      <w:numId w:val="6"/>
    </w:numPr>
    <w:pPr>
      <w:numPr>
        <w:ilvl w:val="0"/>
        <w:numId w:val="6"/>
      </w:numPr>
      <w:tabs>
        <w:tab w:val="left" w:pos="720"/>
        <w:tab w:val="left" w:pos="2160"/>
      </w:tabs>
      <w:spacing/>
      <w:outlineLvl w:val="8"/>
    </w:pPr>
    <w:rPr/>
  </w:style>
  <w:style w:type="paragraph" w:styleId="Dates" w:customStyle="1">
    <w:name w:val="Dates"/>
    <w:basedOn w:val="Article"/>
    <w:next w:val="LeadInSentence"/>
    <w:pPr>
      <w:spacing w:before="0" w:after="240"/>
      <w:contextualSpacing/>
    </w:pPr>
    <w:rPr/>
  </w:style>
  <w:style w:type="paragraph" w:styleId="PayItem" w:customStyle="1">
    <w:name w:val="PayItem"/>
    <w:basedOn w:val="BodyText"/>
    <w:pPr>
      <w:tabs>
        <w:tab w:val="clear" w:pos="720"/>
      </w:tabs>
      <w:spacing/>
      <w:ind w:left="3600" w:right="10" w:hanging="2170"/>
    </w:pPr>
    <w:rPr/>
  </w:style>
  <w:style w:type="paragraph" w:styleId="BlockText">
    <w:name w:val="Block Text"/>
    <w:basedOn w:val="Normal"/>
    <w:pPr>
      <w:spacing w:after="120"/>
      <w:ind w:left="1440" w:right="1440"/>
    </w:pPr>
    <w:rPr/>
  </w:style>
  <w:style w:type="character" w:styleId="Heading3Char" w:customStyle="1">
    <w:name w:val="Heading 3 Char"/>
    <w:basedOn w:val="DefaultParagraphFont"/>
    <w:link w:val="Heading3"/>
    <w:rPr>
      <w:rFonts w:cs="Arial"/>
      <w:bCs/>
      <w:sz w:val="24"/>
      <w:szCs w:val="26"/>
    </w:rPr>
  </w:style>
  <w:style w:type="paragraph" w:styleId="BalloonText">
    <w:name w:val="Balloon Text"/>
    <w:basedOn w:val="Normal"/>
    <w:link w:val="BalloonTextChar"/>
    <w:pPr>
      <w:spacing/>
    </w:pPr>
    <w:rPr>
      <w:rFonts w:ascii="Tahoma" w:hAnsi="Tahoma" w:eastAsia="Tahoma" w:cs="Tahoma"/>
      <w:sz w:val="16"/>
      <w:szCs w:val="16"/>
    </w:rPr>
  </w:style>
  <w:style w:type="character" w:styleId="BalloonTextChar" w:customStyle="1">
    <w:name w:val="Balloon Text Char"/>
    <w:basedOn w:val="DefaultParagraphFont"/>
    <w:link w:val="BalloonText"/>
    <w:rPr>
      <w:rFonts w:ascii="Tahoma" w:hAnsi="Tahoma" w:eastAsia="Tahoma" w:cs="Tahoma"/>
      <w:sz w:val="16"/>
      <w:szCs w:val="16"/>
    </w:rPr>
  </w:style>
  <w:style w:type="paragraph" w:styleId="Section80" w:customStyle="1">
    <w:name w:val="Section8"/>
    <w:basedOn w:val="Normal"/>
    <w:numPr>
      <w:ilvl w:val="0"/>
      <w:numId w:val="4"/>
    </w:numPr>
    <w:pPr>
      <w:numPr>
        <w:ilvl w:val="0"/>
        <w:numId w:val="4"/>
      </w:numPr>
      <w:tabs>
        <w:tab w:val="left" w:pos="1440"/>
        <w:tab w:val="left" w:pos="1800"/>
      </w:tabs>
      <w:spacing/>
      <w:outlineLvl w:val="7"/>
    </w:pPr>
    <w:rPr>
      <w:b/>
    </w:rPr>
  </w:style>
  <w:style w:type="paragraph" w:styleId="Subdivision" w:customStyle="1">
    <w:name w:val="Subdivision"/>
    <w:basedOn w:val="Normal"/>
    <w:pPr>
      <w:keepNext/>
      <w:widowControl w:val="true"/>
      <w:autoSpaceDE w:val="true"/>
      <w:autoSpaceDN w:val="true"/>
      <w:adjustRightInd w:val="true"/>
      <w:spacing w:before="120" w:after="240"/>
      <w:jc w:val="center"/>
    </w:pPr>
    <w:rPr>
      <w:caps/>
      <w:sz w:val="26"/>
      <w:szCs w:val="20"/>
    </w:rPr>
  </w:style>
  <w:style w:type="character" w:styleId="Heading4Char" w:customStyle="1">
    <w:name w:val="Heading 4 Char"/>
    <w:basedOn w:val="DefaultParagraphFont"/>
    <w:link w:val="Heading4"/>
    <w:rPr>
      <w:rFonts w:ascii="Goudy Old Style" w:hAnsi="Goudy Old Style" w:eastAsia="Goudy Old Style" w:cs="Goudy Old Style"/>
      <w:sz w:val="36"/>
      <w:szCs w:val="24"/>
    </w:rPr>
  </w:style>
  <w:style w:type="character" w:styleId="Strong">
    <w:name w:val="Strong"/>
    <w:basedOn w:val="DefaultParagraphFont"/>
    <w:qFormat/>
    <w:rPr>
      <w:b/>
      <w:bCs/>
    </w:rPr>
  </w:style>
  <w:style w:type="paragraph" w:styleId="ListParagraph">
    <w:name w:val="List Paragraph"/>
    <w:basedOn w:val="Normal"/>
    <w:qFormat/>
    <w:pPr>
      <w:widowControl w:val="true"/>
      <w:autoSpaceDE w:val="true"/>
      <w:autoSpaceDN w:val="true"/>
      <w:adjustRightInd w:val="true"/>
      <w:spacing/>
      <w:ind w:left="720"/>
    </w:pPr>
    <w:rPr>
      <w:rFonts w:ascii="Calibri" w:hAnsi="Calibri" w:eastAsia="Calibri" w:cs="Calibri"/>
      <w:sz w:val="22"/>
      <w:szCs w:val="22"/>
    </w:rPr>
  </w:style>
  <w:style w:type="paragraph" w:styleId="StyleBodyTextLeft1" w:customStyle="1">
    <w:name w:val="Style Body Text + Left: 1&quot;"/>
    <w:basedOn w:val="BodyText"/>
    <w:pPr>
      <w:widowControl w:val="false"/>
      <w:spacing/>
      <w:ind w:left="1440"/>
    </w:pPr>
    <w:rPr/>
  </w:style>
  <w:style w:type="character" w:styleId="BodyTextChar" w:customStyle="1">
    <w:name w:val="Body Text Char"/>
    <w:basedOn w:val="DefaultParagraphFont"/>
    <w:link w:val="BodyText"/>
    <w:rPr>
      <w:sz w:val="24"/>
    </w:rPr>
  </w:style>
</w:styles>
</file>

<file path=word/_rels/document.xml.rels>&#65279;<?xml version="1.0" encoding="utf-8" standalone="yes"?><Relationships xmlns="http://schemas.openxmlformats.org/package/2006/relationships"><Relationship Id="rId7" Type="http://schemas.openxmlformats.org/officeDocument/2006/relationships/styles" Target="styles.xml" /><Relationship Id="rId8"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numbering" Target="numbering.xml" /><Relationship Id="rId4" Type="http://schemas.openxmlformats.org/officeDocument/2006/relationships/footer" Target="footer4.xml" /><Relationship Id="rId3" Type="http://schemas.openxmlformats.org/officeDocument/2006/relationships/header" Target="header3.xml" /><Relationship Id="rId2" Type="http://schemas.openxmlformats.org/officeDocument/2006/relationships/footer" Target="footer2.xml" /><Relationship Id="rId1" Type="http://schemas.openxmlformats.org/officeDocument/2006/relationships/header" Target="header1.xml" /><Relationship Id="rId6" Type="http://schemas.openxmlformats.org/officeDocument/2006/relationships/footer" Target="footer6.xml" /><Relationship Id="rId5" Type="http://schemas.openxmlformats.org/officeDocument/2006/relationships/header" Target="header5.xml" /><Relationship Id="rId11" Type="http://schemas.openxmlformats.org/officeDocument/2006/relationships/fontTable" Target="fontTable.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odata/shares/CO/ProgMgt/Specs/DEVELOP/MEMOS/specdevtemp2.dot" TargetMode="External" /></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panose="020F0302020204030204"/>
        <a:cs typeface="" panose="020F0302020204030204"/>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panose="020F0502020204030204"/>
        <a:cs typeface="" panose="020F0502020204030204"/>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xmlns:a="http://schemas.openxmlformats.org/drawingml/2006/main"/>
  <a:extraClrSchemeLst xmlns:a="http://schemas.openxmlformats.org/drawingml/2006/main"/>
  <a:extLst xmlns:a="http://schemas.openxmlformats.org/drawingml/2006/main">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vt="http://schemas.openxmlformats.org/officeDocument/2006/docPropsVTypes" xmlns="http://schemas.openxmlformats.org/officeDocument/2006/extended-properties">
  <Template>specdevtemp2.dot</Template>
  <TotalTime>0</TotalTime>
  <Pages>1</Pages>
  <Words>606</Words>
  <Characters>3458</Characters>
  <Application>Microsoft Office Word</Application>
  <DocSecurity>0</DocSecurity>
  <Lines>28</Lines>
  <Paragraphs>8</Paragraphs>
  <Company>FDOT</Company>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924</dc:title>
  <dc:subject/>
  <dc:creator>Toole, Deborah</dc:creator>
  <cp:keywords/>
  <dc:description/>
  <cp:lastModifiedBy>Abrahams, Hill</cp:lastModifiedBy>
  <cp:lastPrinted>2017-03-22T14:43:00Z</cp:lastPrinted>
  <cp:revision>2</cp:revision>
  <dcterms:created xsi:type="dcterms:W3CDTF">2019-04-09T23:23:00Z</dcterms:created>
  <dcterms:modified xsi:type="dcterms:W3CDTF">2019-04-09T23:23:00Z</dcterms:modified>
</cp:coreProperties>
</file>