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710</w:t>
      </w:r>
      <w:r>
        <w:rPr/>
        <w:tab/>
        <w:t xml:space="preserve"/>
      </w:r>
      <w:r>
        <w:rPr/>
        <w:t xml:space="preserve">PAINTED PAVEMENT MARKINGS.</w:t>
      </w:r>
    </w:p>
    <w:p>
      <w:pPr>
        <w:pStyle w:val="Dates"/>
        <w:spacing/>
        <w:rPr/>
      </w:pPr>
      <w:r>
        <w:rPr/>
        <w:tab/>
        <w:t xml:space="preserve"/>
      </w:r>
      <w:r>
        <w:rPr/>
        <w:t xml:space="preserve">(REV </w:t>
      </w:r>
      <w:r>
        <w:rPr/>
        <w:t xml:space="preserve">5-26-17</w:t>
      </w:r>
      <w:r>
        <w:rPr/>
        <w:t xml:space="preserve">)</w:t>
      </w:r>
      <w:r>
        <w:rPr/>
        <w:t xml:space="preserve"> (FA </w:t>
      </w:r>
      <w:r>
        <w:rPr/>
        <w:t xml:space="preserve">8-7-17</w:t>
      </w:r>
      <w:r>
        <w:rPr/>
        <w:t xml:space="preserve">) (</w:t>
      </w:r>
      <w:r>
        <w:rPr/>
        <w:t xml:space="preserve">1-18</w:t>
      </w:r>
      <w:r>
        <w:rPr/>
        <w:t xml:space="preserve">)</w:t>
      </w:r>
    </w:p>
    <w:p>
      <w:pPr>
        <w:pStyle w:val="LeadInSentence"/>
        <w:spacing/>
        <w:rPr/>
      </w:pPr>
      <w:r>
        <w:rPr/>
        <w:t xml:space="preserve">SUBARTICLE 710-4.1.1 is deleted and the following substituted: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>
          <w:b/>
          <w:bCs/>
        </w:rPr>
        <w:t xml:space="preserve">710-4.1.1 Painted Pavement Markings (Final Surface):</w:t>
      </w:r>
      <w:r>
        <w:rPr/>
        <w:t xml:space="preserve"> On concrete surfaces or newly constructed asphalt without rumble striping, the painted pavement markings (final surface) will include one application of standard paint and one application of Class B retroreflective pavement markers applied to the final surface.</w:t>
      </w:r>
    </w:p>
    <w:p>
      <w:pPr>
        <w:widowControl w:val="true"/>
        <w:tabs>
          <w:tab w:val="left" w:pos="720"/>
        </w:tabs>
        <w:autoSpaceDE w:val="true"/>
        <w:autoSpaceDN w:val="true"/>
        <w:adjustRightInd w:val="true"/>
        <w:spacing/>
        <w:rPr>
          <w:szCs w:val="20"/>
        </w:rPr>
      </w:pP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 xml:space="preserve">On newly constructed asphalt with rumble striping, apply two applications of standard paint and one application of Class B retroreflective pavement markers. Additionally, for center line rumble striping installations, install Class D retroreflective pavement markers with the first application of standard paint. Remove Class D markers prior to grinding, and install Class B retroreflective pavement markers in an unground area after grinding. The second application of stand</w:t>
      </w:r>
      <w:r>
        <w:rPr>
          <w:szCs w:val="20"/>
        </w:rPr>
        <w:t xml:space="preserve">ard paint must be applied within 24 hours of each day’s grinding operation.</w:t>
      </w:r>
    </w:p>
    <w:p>
      <w:pPr>
        <w:pStyle w:val="BodyText"/>
        <w:spacing/>
        <w:rPr>
          <w:szCs w:val="24"/>
        </w:rPr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Do not apply final surface paint </w:t>
      </w:r>
      <w:r>
        <w:rPr>
          <w:szCs w:val="24"/>
        </w:rPr>
        <w:t xml:space="preserve">for</w:t>
      </w:r>
      <w:r>
        <w:rPr>
          <w:szCs w:val="24"/>
        </w:rPr>
        <w:t xml:space="preserve"> bicycle arrows or bicycle messages, 24 </w:t>
      </w:r>
      <w:r>
        <w:rPr>
          <w:szCs w:val="24"/>
        </w:rPr>
        <w:t xml:space="preserve">inch </w:t>
      </w:r>
      <w:r>
        <w:rPr>
          <w:szCs w:val="24"/>
        </w:rPr>
        <w:t xml:space="preserve">longitudinal bars in special emphasis crosswalks, or route shields where preformed thermoplastic will be applied.</w:t>
      </w:r>
    </w:p>
    <w:p>
      <w:pPr>
        <w:widowControl w:val="true"/>
        <w:tabs>
          <w:tab w:val="left" w:pos="720"/>
        </w:tabs>
        <w:autoSpaceDE w:val="true"/>
        <w:autoSpaceDN w:val="true"/>
        <w:adjustRightInd w:val="true"/>
        <w:spacing/>
        <w:rPr>
          <w:szCs w:val="20"/>
        </w:rPr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0"/>
        </w:rPr>
        <w:t xml:space="preserve">Install</w:t>
      </w:r>
      <w:r>
        <w:rPr>
          <w:szCs w:val="20"/>
        </w:rPr>
        <w:t xml:space="preserve"> all retroreflective pavement markers in accordance with Design Standards, Index No</w:t>
      </w:r>
      <w:r>
        <w:rPr>
          <w:szCs w:val="20"/>
        </w:rPr>
        <w:t xml:space="preserve">s</w:t>
      </w:r>
      <w:r>
        <w:rPr>
          <w:szCs w:val="20"/>
        </w:rPr>
        <w:t xml:space="preserve">. 17352</w:t>
      </w:r>
      <w:r>
        <w:rPr>
          <w:szCs w:val="20"/>
        </w:rPr>
        <w:t xml:space="preserve"> and 17345</w:t>
      </w:r>
      <w:r>
        <w:rPr>
          <w:szCs w:val="20"/>
        </w:rPr>
        <w:t xml:space="preserve">, prior to opening the road to traffic.</w:t>
      </w:r>
    </w:p>
    <w:p>
      <w:pPr>
        <w:widowControl w:val="true"/>
        <w:tabs>
          <w:tab w:val="left" w:pos="720"/>
        </w:tabs>
        <w:autoSpaceDE w:val="true"/>
        <w:autoSpaceDN w:val="true"/>
        <w:adjustRightInd w:val="true"/>
        <w:spacing/>
        <w:rPr>
          <w:szCs w:val="20"/>
        </w:rPr>
      </w:pP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 xml:space="preserve">T</w:t>
      </w:r>
      <w:r>
        <w:rPr>
          <w:szCs w:val="20"/>
        </w:rPr>
        <w:t xml:space="preserve">emporary retroreflective pavement markers </w:t>
      </w:r>
      <w:r>
        <w:rPr>
          <w:szCs w:val="20"/>
        </w:rPr>
        <w:t xml:space="preserve">must </w:t>
      </w:r>
      <w:r>
        <w:rPr>
          <w:szCs w:val="20"/>
        </w:rPr>
        <w:t xml:space="preserve">meet the requirements of Section 102.</w:t>
      </w:r>
    </w:p>
    <w:p>
      <w:pPr>
        <w:widowControl w:val="true"/>
        <w:tabs>
          <w:tab w:val="left" w:pos="720"/>
        </w:tabs>
        <w:autoSpaceDE w:val="true"/>
        <w:autoSpaceDN w:val="true"/>
        <w:adjustRightInd w:val="true"/>
        <w:spacing/>
        <w:rPr>
          <w:szCs w:val="20"/>
        </w:rPr>
      </w:pP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 xml:space="preserve">P</w:t>
      </w:r>
      <w:r>
        <w:rPr>
          <w:szCs w:val="20"/>
        </w:rPr>
        <w:t xml:space="preserve">ermanent retroreflective pavement markers </w:t>
      </w:r>
      <w:r>
        <w:rPr>
          <w:szCs w:val="20"/>
        </w:rPr>
        <w:t xml:space="preserve">must </w:t>
      </w:r>
      <w:r>
        <w:rPr>
          <w:szCs w:val="20"/>
        </w:rPr>
        <w:t xml:space="preserve">meet the requirements of Section 706.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attachedTemplate r:id="rId1"/>
  <w:linkStyles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rPr/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tabs>
        <w:tab w:val="left" w:pos="720"/>
      </w:tabs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Times New Roman" w:cs="Segoe UI"/>
      <w:sz w:val="18"/>
      <w:szCs w:val="18"/>
    </w:rPr>
  </w:style>
  <w:style w:type="paragraph" w:styleId="Revision" w:customStyle="1">
    <w:name w:val="Revision"/>
    <w:pPr>
      <w: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/codata/shares/CO/ProgMgt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228</Words>
  <Characters>1302</Characters>
  <Application>Microsoft Office Word</Application>
  <DocSecurity>0</DocSecurity>
  <Lines>10</Lines>
  <Paragraphs>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pg965dt 7-14-16</dc:creator>
  <cp:keywords/>
  <dc:description/>
  <cp:lastModifiedBy>Abrahams, Hill</cp:lastModifiedBy>
  <cp:revision>2</cp:revision>
  <dcterms:created xsi:type="dcterms:W3CDTF">2019-04-09T23:07:00Z</dcterms:created>
  <dcterms:modified xsi:type="dcterms:W3CDTF">2019-04-09T23:07:00Z</dcterms:modified>
</cp:coreProperties>
</file>