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- COMPLIANCE WITH FEDERAL ENDANGERED SPECIES ACT AND OTHER WILDLIFE REGULATIONS (STURGEON).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6-24-20</w:t>
      </w:r>
      <w:r>
        <w:rPr/>
        <w:t xml:space="preserve">) (FA </w:t>
      </w:r>
      <w:r>
        <w:rPr/>
        <w:t xml:space="preserve">8-2</w:t>
      </w:r>
      <w:r>
        <w:rPr/>
        <w:t xml:space="preserve">4</w:t>
      </w:r>
      <w:r>
        <w:rPr/>
        <w:t xml:space="preserve">-20</w:t>
      </w:r>
      <w:r>
        <w:rPr/>
        <w:t xml:space="preserve">) (FY 2023-24)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the</w:t>
      </w:r>
      <w:r>
        <w:rPr/>
        <w:t xml:space="preserve"> project occurs within the</w:t>
      </w:r>
      <w:r>
        <w:rPr/>
        <w:t xml:space="preserve"> habitat of </w:t>
      </w:r>
      <w:r>
        <w:rPr/>
        <w:t xml:space="preserve">Atlantic, G</w:t>
      </w:r>
      <w:r>
        <w:rPr/>
        <w:t xml:space="preserve">ulf</w:t>
      </w:r>
      <w:r>
        <w:rPr/>
        <w:t xml:space="preserve"> or Shortnose</w:t>
      </w:r>
      <w:r>
        <w:rPr/>
        <w:t xml:space="preserve"> sturgeon.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The Department will provide instruction at a </w:t>
      </w:r>
      <w:r>
        <w:rPr/>
        <w:t xml:space="preserve">prec</w:t>
      </w:r>
      <w:r>
        <w:rPr/>
        <w:t xml:space="preserve">onstruction meeting regarding: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The presence of the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</w:t>
      </w:r>
      <w:r>
        <w:rPr/>
        <w:t xml:space="preserve">The appearance, habits, biology, migratory patterns and preservation of the species.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</w:t>
      </w:r>
      <w:r>
        <w:rPr/>
        <w:t xml:space="preserve">Their protected status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The need to avoid collisions with these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5. The</w:t>
      </w:r>
      <w:r>
        <w:rPr/>
        <w:t xml:space="preserve"> civil and criminal penalties for harming, harassing, or killing these species</w:t>
      </w:r>
      <w:r>
        <w:rPr/>
        <w:t xml:space="preserve">.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Provide a spotter </w:t>
      </w:r>
      <w:r>
        <w:rPr>
          <w:szCs w:val="24"/>
        </w:rPr>
        <w:t xml:space="preserve">for the following: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estuarine/marine habitats from Tampa Bay Northward to Pensacola from November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April 30</w:t>
      </w:r>
      <w:r>
        <w:rPr>
          <w:szCs w:val="24"/>
          <w:vertAlign w:val="superscript"/>
        </w:rPr>
        <w:t xml:space="preserve">th</w:t>
      </w:r>
      <w:r>
        <w:rPr>
          <w:szCs w:val="24"/>
        </w:rPr>
        <w:t xml:space="preserve">.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riverine habitats from March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October 31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Atlantic and Shortnose sturgeon in all habitat types, from Cape Canaveral Northward to Jacksonville, year-round. During required timeframe, spotter will</w:t>
      </w:r>
      <w:r>
        <w:rPr>
          <w:szCs w:val="24"/>
        </w:rPr>
        <w:t xml:space="preserve"> maintain constant surveillance for the species</w:t>
      </w:r>
      <w:r>
        <w:rPr>
          <w:szCs w:val="24"/>
        </w:rPr>
        <w:t xml:space="preserve"> during in water work activities, which include pile driving, vessel operations, both motorized and non-motorized, and extending equipment or material in the water, and a</w:t>
      </w:r>
      <w:r>
        <w:rPr>
          <w:szCs w:val="24"/>
        </w:rPr>
        <w:t xml:space="preserve">ssure adherence to the requirements posted in the URL address in Spec 7-1.4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Do not restrict passage for these fish.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Post signs on site warn</w:t>
      </w:r>
      <w:r>
        <w:rPr/>
        <w:t xml:space="preserve">ing of the presence of sturgeon and </w:t>
      </w:r>
      <w:r>
        <w:rPr/>
        <w:t xml:space="preserve">their federal pr</w:t>
      </w:r>
      <w:r>
        <w:rPr/>
        <w:t xml:space="preserve">otection</w:t>
      </w:r>
      <w:r>
        <w:rPr/>
        <w:t xml:space="preserve">.</w:t>
      </w:r>
    </w:p>
    <w:p>
      <w:pPr>
        <w:pStyle w:val="BodyText"/>
        <w:spacing/>
        <w:rPr>
          <w:szCs w:val="24"/>
          <w:highlight w:val="yellow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Use floating turbidity barriers</w:t>
      </w:r>
      <w:r>
        <w:rPr>
          <w:szCs w:val="24"/>
        </w:rPr>
        <w:t xml:space="preserve"> made of material which sturgeon cannot become entangled or entrapped</w:t>
      </w:r>
      <w:r>
        <w:rPr>
          <w:szCs w:val="24"/>
        </w:rPr>
        <w:t xml:space="preserve">. Properly secure, regularly monitor and maintain all deployed sediment and turbidity barriers. Immediately free sturgeon trapped in sediment or turbidity barriers.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Do not dredge the river bottom for barge access.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Lower all equipment or material to the mudline in a controlled descent. Do not allow freefall of any equipment or material below the water surface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320"/>
        <w:tab w:val="right" w:pos="8640"/>
      </w:tabs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CDA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">
    <w:nsid w:val="17926CA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2">
    <w:nsid w:val="262C2C4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DFD6CD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2E55397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386B21B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7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3BEE515F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9">
    <w:nsid w:val="4C2740B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0">
    <w:nsid w:val="50785A77"/>
    <w:lvl w:ilvl="0">
      <w:start w:val="1"/>
      <w:numFmt w:val="decimal"/>
      <w:suff w:val="tab"/>
      <w:lvlText w:val="%1."/>
      <w:pPr>
        <w:spacing/>
        <w:ind w:left="32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9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4680" w:hanging="180"/>
      </w:pPr>
      <w:rPr/>
    </w:lvl>
    <w:lvl w:ilvl="3">
      <w:start w:val="1"/>
      <w:numFmt w:val="decimal"/>
      <w:suff w:val="tab"/>
      <w:lvlText w:val="%4."/>
      <w:pPr>
        <w:spacing/>
        <w:ind w:left="5400" w:hanging="360"/>
      </w:pPr>
      <w:rPr/>
    </w:lvl>
    <w:lvl w:ilvl="4">
      <w:start w:val="1"/>
      <w:numFmt w:val="lowerLetter"/>
      <w:suff w:val="tab"/>
      <w:lvlText w:val="%5."/>
      <w:pPr>
        <w:spacing/>
        <w:ind w:left="61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840" w:hanging="180"/>
      </w:pPr>
      <w:rPr/>
    </w:lvl>
    <w:lvl w:ilvl="6">
      <w:start w:val="1"/>
      <w:numFmt w:val="decimal"/>
      <w:suff w:val="tab"/>
      <w:lvlText w:val="%7."/>
      <w:pPr>
        <w:spacing/>
        <w:ind w:left="7560" w:hanging="360"/>
      </w:pPr>
      <w:rPr/>
    </w:lvl>
    <w:lvl w:ilvl="7">
      <w:start w:val="1"/>
      <w:numFmt w:val="lowerLetter"/>
      <w:suff w:val="tab"/>
      <w:lvlText w:val="%8."/>
      <w:pPr>
        <w:spacing/>
        <w:ind w:left="82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9000" w:hanging="180"/>
      </w:pPr>
      <w:rPr/>
    </w:lvl>
  </w:abstractNum>
  <w:abstractNum w:abstractNumId="11">
    <w:nsid w:val="54B2796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2">
    <w:nsid w:val="54EB7A13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3">
    <w:nsid w:val="64A14028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4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5">
    <w:nsid w:val="6AF34D6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CommentReference1" w:customStyle="1">
    <w:name w:val="Comment Reference1"/>
    <w:basedOn w:val="DefaultParagraphFont"/>
    <w:unhideWhenUsed/>
    <w:rPr>
      <w:sz w:val="16"/>
      <w:szCs w:val="16"/>
    </w:rPr>
  </w:style>
  <w:style w:type="paragraph" w:styleId="CommentText1" w:customStyle="1">
    <w:name w:val="Comment Text1"/>
    <w:basedOn w:val="Normal"/>
    <w:link w:val="CommentTextChar"/>
    <w:unhideWhenUsed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  <w:style w:type="paragraph" w:styleId="CommentSubject1" w:customStyle="1">
    <w:name w:val="Comment Subject1"/>
    <w:basedOn w:val="CommentText1"/>
    <w:link w:val="CommentSubjectChar"/>
    <w:semiHidden/>
    <w:unhideWhenUsed/>
    <w:pPr>
      <w:widowControl w:val="true"/>
      <w:autoSpaceDE w:val="true"/>
      <w:autoSpaceDN w:val="true"/>
      <w:adjustRightInd w:val="true"/>
      <w:spacing w:after="160"/>
    </w:pPr>
    <w:rPr>
      <w:rFonts w:ascii="Calibri" w:hAnsi="Calibri" w:eastAsia="Calibri" w:cs="Calibri"/>
      <w:b/>
      <w:bCs/>
    </w:rPr>
  </w:style>
  <w:style w:type="character" w:styleId="CommentSubjectChar" w:customStyle="1">
    <w:name w:val="Comment Subject Char"/>
    <w:basedOn w:val="DefaultParagraphFont"/>
    <w:link w:val="CommentSubject1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spacing/>
      <w:ind w:left="720"/>
      <w:contextualSpacing/>
    </w:pPr>
    <w:rPr/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8"/>
    </w:numPr>
    <w:pPr>
      <w:keepLines/>
      <w:numPr>
        <w:ilvl w:val="0"/>
        <w:numId w:val="8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15"/>
    </w:numPr>
    <w:pPr>
      <w:widowControl w:val="false"/>
      <w:numPr>
        <w:ilvl w:val="0"/>
        <w:numId w:val="15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Revision1" w:customStyle="1">
    <w:name w:val="Revision1"/>
    <w:semiHidden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39C-8FD0-4B24-ABAA-74B248E973D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311</Words>
  <Characters>1778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2020-09-29T13:42:00Z</dcterms:created>
  <dcterms:modified xsi:type="dcterms:W3CDTF">2020-09-29T13:43:00Z</dcterms:modified>
  <cp:category>Construction Maintenance LAP </cp:category>
</cp:coreProperties>
</file>