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50470A">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3F56FA5C" w:rsidR="00E46288" w:rsidRDefault="00E46288" w:rsidP="00E46288">
      <w:pPr>
        <w:pStyle w:val="BodyText"/>
      </w:pPr>
      <w:r>
        <w:t xml:space="preserve">(REV </w:t>
      </w:r>
      <w:r w:rsidR="00B804F6">
        <w:t>10-10</w:t>
      </w:r>
      <w:r w:rsidR="005752E7">
        <w:t>-2</w:t>
      </w:r>
      <w:r w:rsidR="00B1074B">
        <w:t>3</w:t>
      </w:r>
      <w:r>
        <w:t>)</w:t>
      </w:r>
      <w:r w:rsidR="00584129">
        <w:t xml:space="preserve"> (</w:t>
      </w:r>
      <w:r w:rsidR="005752E7">
        <w:t>FY 2023-24</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50470A">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1F5719">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1F5719">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1F5719">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1F5719">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50470A">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1F5719">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3, is increased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w:t>
      </w:r>
      <w:proofErr w:type="gramStart"/>
      <w:r w:rsidRPr="00525185">
        <w:t>actually engaged</w:t>
      </w:r>
      <w:proofErr w:type="gramEnd"/>
      <w:r w:rsidRPr="00525185">
        <w:t xml:space="preserve">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30pt" o:ole="">
            <v:imagedata r:id="rId7" o:title=""/>
          </v:shape>
          <o:OLEObject Type="Embed" ProgID="Equation.3" ShapeID="_x0000_i1025" DrawAspect="Content" ObjectID="_1761649008"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pt;height:30pt" o:ole="">
            <v:imagedata r:id="rId9" o:title=""/>
          </v:shape>
          <o:OLEObject Type="Embed" ProgID="Equation.3" ShapeID="_x0000_i1026" DrawAspect="Content" ObjectID="_1761649009"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will constitute a full, complete, absolute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50470A">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1F5719">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29347B61" w14:textId="77777777" w:rsidR="00F87C45" w:rsidRPr="00AE42B4" w:rsidRDefault="00F87C45" w:rsidP="009B0BBF">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9B0BBF">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9B0BBF">
      <w:pPr>
        <w:pStyle w:val="BodyText"/>
      </w:pPr>
      <w:r w:rsidRPr="00AE42B4">
        <w:lastRenderedPageBreak/>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9B0BBF">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a. documented additional job site labor expenses;</w:t>
      </w:r>
    </w:p>
    <w:p w14:paraId="7923203C" w14:textId="77777777" w:rsidR="00F87C45" w:rsidRPr="00AE42B4" w:rsidRDefault="00F87C45" w:rsidP="009B0BBF">
      <w:pPr>
        <w:pStyle w:val="BodyText"/>
      </w:pPr>
      <w:r w:rsidRPr="00AE42B4">
        <w:tab/>
      </w:r>
      <w:r w:rsidRPr="00AE42B4">
        <w:tab/>
      </w:r>
      <w:r w:rsidRPr="00AE42B4">
        <w:tab/>
        <w:t>b. documented additional cost of materials and supplies;</w:t>
      </w:r>
    </w:p>
    <w:p w14:paraId="5398838C" w14:textId="77777777" w:rsidR="00F87C45" w:rsidRPr="00AE42B4" w:rsidRDefault="00F87C45" w:rsidP="009B0BBF">
      <w:pPr>
        <w:pStyle w:val="BodyText"/>
      </w:pPr>
      <w:r w:rsidRPr="00AE42B4">
        <w:tab/>
      </w:r>
      <w:r w:rsidRPr="00AE42B4">
        <w:tab/>
      </w:r>
      <w:r w:rsidRPr="00AE42B4">
        <w:tab/>
        <w:t>c. a list of additional equipment costs claimed, including each piece of equipment and the rental rate claimed for each;</w:t>
      </w:r>
    </w:p>
    <w:p w14:paraId="1CFB857A" w14:textId="77777777" w:rsidR="00F87C45" w:rsidRPr="00AE42B4" w:rsidRDefault="00F87C45" w:rsidP="009B0BBF">
      <w:pPr>
        <w:pStyle w:val="BodyText"/>
      </w:pPr>
      <w:r w:rsidRPr="00AE42B4">
        <w:tab/>
      </w:r>
      <w:r w:rsidRPr="00AE42B4">
        <w:tab/>
      </w:r>
      <w:r w:rsidRPr="00AE42B4">
        <w:tab/>
        <w:t>d. any other additional direct costs or damages and the documents in support thereof;</w:t>
      </w:r>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A4EF3EC" w14:textId="77777777" w:rsidR="00F87C45" w:rsidRPr="00AE42B4" w:rsidRDefault="00F87C45" w:rsidP="009B0BBF">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Journal as the base rate on corporate loans posted by at least 75% of the nations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lastRenderedPageBreak/>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1. Loss of profit, incentives or bonuses;</w:t>
      </w:r>
    </w:p>
    <w:p w14:paraId="673C1FAC" w14:textId="77777777" w:rsidR="00F87C45" w:rsidRPr="00AE42B4" w:rsidRDefault="00F87C45" w:rsidP="009B0BBF">
      <w:pPr>
        <w:pStyle w:val="BodyText"/>
      </w:pPr>
      <w:r w:rsidRPr="00AE42B4">
        <w:tab/>
      </w:r>
      <w:r w:rsidRPr="00AE42B4">
        <w:tab/>
        <w:t>2. Any claim for other than extra work or delay;</w:t>
      </w:r>
    </w:p>
    <w:p w14:paraId="08980006" w14:textId="77777777" w:rsidR="00F87C45" w:rsidRPr="00AE42B4" w:rsidRDefault="00F87C45" w:rsidP="009B0BBF">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w:t>
      </w:r>
      <w:r w:rsidRPr="00AE42B4">
        <w:lastRenderedPageBreak/>
        <w:t>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0BD66790" w14:textId="77777777" w:rsidR="00F87C45" w:rsidRPr="00AE42B4" w:rsidRDefault="00F87C45" w:rsidP="009B0BBF">
      <w:pPr>
        <w:pStyle w:val="BodyText"/>
      </w:pPr>
      <w:r w:rsidRPr="00AE42B4">
        <w:tab/>
      </w:r>
      <w:r w:rsidRPr="00AE42B4">
        <w:tab/>
      </w:r>
      <w:r w:rsidRPr="00AE42B4">
        <w:tab/>
        <w:t>1. Daily time sheets and foreman’s daily reports and diaries;</w:t>
      </w:r>
    </w:p>
    <w:p w14:paraId="3B4FC931" w14:textId="77777777" w:rsidR="00F87C45" w:rsidRPr="00AE42B4" w:rsidRDefault="00F87C45" w:rsidP="009B0BBF">
      <w:pPr>
        <w:pStyle w:val="BodyText"/>
      </w:pPr>
      <w:r w:rsidRPr="00AE42B4">
        <w:tab/>
      </w:r>
      <w:r w:rsidRPr="00AE42B4">
        <w:tab/>
      </w:r>
      <w:r w:rsidRPr="00AE42B4">
        <w:tab/>
        <w:t>2. Insurance, welfare and benefits records;</w:t>
      </w:r>
    </w:p>
    <w:p w14:paraId="7EE63A62" w14:textId="77777777" w:rsidR="00F87C45" w:rsidRPr="00AE42B4" w:rsidRDefault="00F87C45" w:rsidP="009B0BBF">
      <w:pPr>
        <w:pStyle w:val="BodyText"/>
      </w:pPr>
      <w:r w:rsidRPr="00AE42B4">
        <w:tab/>
      </w:r>
      <w:r w:rsidRPr="00AE42B4">
        <w:tab/>
      </w:r>
      <w:r w:rsidRPr="00AE42B4">
        <w:tab/>
        <w:t>3. Payroll register;</w:t>
      </w:r>
    </w:p>
    <w:p w14:paraId="615ABCC8" w14:textId="77777777" w:rsidR="00F87C45" w:rsidRPr="00AE42B4" w:rsidRDefault="00F87C45" w:rsidP="009B0BBF">
      <w:pPr>
        <w:pStyle w:val="BodyText"/>
      </w:pPr>
      <w:r w:rsidRPr="00AE42B4">
        <w:tab/>
      </w:r>
      <w:r w:rsidRPr="00AE42B4">
        <w:tab/>
      </w:r>
      <w:r w:rsidRPr="00AE42B4">
        <w:tab/>
        <w:t>4. Earnings records;</w:t>
      </w:r>
    </w:p>
    <w:p w14:paraId="7109362C" w14:textId="77777777" w:rsidR="00F87C45" w:rsidRPr="00AE42B4" w:rsidRDefault="00F87C45" w:rsidP="009B0BBF">
      <w:pPr>
        <w:pStyle w:val="BodyText"/>
      </w:pPr>
      <w:r w:rsidRPr="00AE42B4">
        <w:tab/>
      </w:r>
      <w:r w:rsidRPr="00AE42B4">
        <w:tab/>
      </w:r>
      <w:r w:rsidRPr="00AE42B4">
        <w:tab/>
        <w:t>5. Payroll tax return;</w:t>
      </w:r>
    </w:p>
    <w:p w14:paraId="097016F2" w14:textId="77777777" w:rsidR="00F87C45" w:rsidRPr="00AE42B4" w:rsidRDefault="00F87C45" w:rsidP="009B0BBF">
      <w:pPr>
        <w:pStyle w:val="BodyText"/>
      </w:pPr>
      <w:r w:rsidRPr="00AE42B4">
        <w:tab/>
      </w:r>
      <w:r w:rsidRPr="00AE42B4">
        <w:tab/>
      </w:r>
      <w:r w:rsidRPr="00AE42B4">
        <w:tab/>
        <w:t>6. Material invoices, purchase orders, and all material and supply acquisition contracts;</w:t>
      </w:r>
    </w:p>
    <w:p w14:paraId="2C2CF731" w14:textId="77777777" w:rsidR="00F87C45" w:rsidRPr="00AE42B4" w:rsidRDefault="00F87C45" w:rsidP="009B0BBF">
      <w:pPr>
        <w:pStyle w:val="BodyText"/>
      </w:pPr>
      <w:r w:rsidRPr="00AE42B4">
        <w:tab/>
      </w:r>
      <w:r w:rsidRPr="00AE42B4">
        <w:tab/>
      </w:r>
      <w:r w:rsidRPr="00AE42B4">
        <w:tab/>
        <w:t>7. Material cost distribution worksheet;</w:t>
      </w:r>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
    <w:p w14:paraId="1681F9C5" w14:textId="77777777" w:rsidR="00F87C45" w:rsidRPr="00AE42B4" w:rsidRDefault="00F87C45" w:rsidP="009B0BBF">
      <w:pPr>
        <w:pStyle w:val="BodyText"/>
      </w:pPr>
      <w:r w:rsidRPr="00AE42B4">
        <w:tab/>
      </w:r>
      <w:r w:rsidRPr="00AE42B4">
        <w:tab/>
      </w:r>
      <w:r w:rsidRPr="00AE42B4">
        <w:tab/>
        <w:t>9. Vendor rental agreements and subcontractor invoices;</w:t>
      </w:r>
    </w:p>
    <w:p w14:paraId="1357AB6C" w14:textId="77777777" w:rsidR="00F87C45" w:rsidRPr="00AE42B4" w:rsidRDefault="00F87C45" w:rsidP="009B0BBF">
      <w:pPr>
        <w:pStyle w:val="BodyText"/>
      </w:pPr>
      <w:r w:rsidRPr="00AE42B4">
        <w:tab/>
      </w:r>
      <w:r w:rsidRPr="00AE42B4">
        <w:tab/>
      </w:r>
      <w:r w:rsidRPr="00AE42B4">
        <w:tab/>
        <w:t>10. Subcontractor payment certificates;</w:t>
      </w:r>
    </w:p>
    <w:p w14:paraId="25581232" w14:textId="77777777" w:rsidR="00F87C45" w:rsidRPr="00AE42B4" w:rsidRDefault="00F87C45" w:rsidP="009B0BBF">
      <w:pPr>
        <w:pStyle w:val="BodyText"/>
      </w:pPr>
      <w:r w:rsidRPr="00AE42B4">
        <w:tab/>
      </w:r>
      <w:r w:rsidRPr="00AE42B4">
        <w:tab/>
      </w:r>
      <w:r w:rsidRPr="00AE42B4">
        <w:tab/>
        <w:t>11. Canceled checks for the project, including, payroll and vendors;</w:t>
      </w:r>
    </w:p>
    <w:p w14:paraId="3EBED856" w14:textId="77777777" w:rsidR="00F87C45" w:rsidRPr="00AE42B4" w:rsidRDefault="00F87C45" w:rsidP="009B0BBF">
      <w:pPr>
        <w:pStyle w:val="BodyText"/>
      </w:pPr>
      <w:r w:rsidRPr="00AE42B4">
        <w:tab/>
      </w:r>
      <w:r w:rsidRPr="00AE42B4">
        <w:tab/>
      </w:r>
      <w:r w:rsidRPr="00AE42B4">
        <w:tab/>
        <w:t>12. Job cost report;</w:t>
      </w:r>
    </w:p>
    <w:p w14:paraId="3A7E42B8" w14:textId="77777777" w:rsidR="00F87C45" w:rsidRPr="00AE42B4" w:rsidRDefault="00F87C45" w:rsidP="009B0BBF">
      <w:pPr>
        <w:pStyle w:val="BodyText"/>
      </w:pPr>
      <w:r w:rsidRPr="00AE42B4">
        <w:tab/>
      </w:r>
      <w:r w:rsidRPr="00AE42B4">
        <w:tab/>
      </w:r>
      <w:r w:rsidRPr="00AE42B4">
        <w:tab/>
        <w:t>13. Job payroll ledger;</w:t>
      </w:r>
    </w:p>
    <w:p w14:paraId="18D260C4" w14:textId="77777777" w:rsidR="00F87C45" w:rsidRPr="00AE42B4" w:rsidRDefault="00F87C45" w:rsidP="009B0BBF">
      <w:pPr>
        <w:pStyle w:val="BodyText"/>
      </w:pPr>
      <w:r w:rsidRPr="00AE42B4">
        <w:tab/>
      </w:r>
      <w:r w:rsidRPr="00AE42B4">
        <w:tab/>
      </w:r>
      <w:r w:rsidRPr="00AE42B4">
        <w:tab/>
        <w:t>14. General ledger, general journal, (if used) and all subsidiary ledgers and journals together with all supporting documentation pertinent to entries made in these ledgers and journals;</w:t>
      </w:r>
    </w:p>
    <w:p w14:paraId="59D70376" w14:textId="77777777" w:rsidR="00F87C45" w:rsidRPr="00AE42B4" w:rsidRDefault="00F87C45" w:rsidP="009B0BBF">
      <w:pPr>
        <w:pStyle w:val="BodyText"/>
      </w:pPr>
      <w:r w:rsidRPr="00AE42B4">
        <w:tab/>
      </w:r>
      <w:r w:rsidRPr="00AE42B4">
        <w:tab/>
      </w:r>
      <w:r w:rsidRPr="00AE42B4">
        <w:tab/>
        <w:t>15. Cash disbursements journal;</w:t>
      </w:r>
    </w:p>
    <w:p w14:paraId="28ACB1EA" w14:textId="77777777" w:rsidR="00F87C45" w:rsidRPr="00AE42B4" w:rsidRDefault="00F87C45" w:rsidP="009B0BBF">
      <w:pPr>
        <w:pStyle w:val="BodyText"/>
      </w:pPr>
      <w:r w:rsidRPr="00AE42B4">
        <w:tab/>
      </w:r>
      <w:r w:rsidRPr="00AE42B4">
        <w:tab/>
      </w:r>
      <w:r w:rsidRPr="00AE42B4">
        <w:tab/>
        <w:t>16. Financial statements for all years reflecting the operations on this project;</w:t>
      </w:r>
    </w:p>
    <w:p w14:paraId="04323501" w14:textId="77777777" w:rsidR="00F87C45" w:rsidRPr="00AE42B4" w:rsidRDefault="00F87C45" w:rsidP="009B0BBF">
      <w:pPr>
        <w:pStyle w:val="BodyText"/>
      </w:pPr>
      <w:r w:rsidRPr="00AE42B4">
        <w:tab/>
      </w:r>
      <w:r w:rsidRPr="00AE42B4">
        <w:tab/>
      </w:r>
      <w:r w:rsidRPr="00AE42B4">
        <w:tab/>
        <w:t>17. Income tax returns for all years reflecting the operations on this project;</w:t>
      </w:r>
    </w:p>
    <w:p w14:paraId="1528166C" w14:textId="77777777" w:rsidR="00F87C45" w:rsidRPr="00AE42B4" w:rsidRDefault="00F87C45" w:rsidP="009B0BBF">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3DF0E368" w14:textId="77777777" w:rsidR="00F87C45" w:rsidRPr="00AE42B4" w:rsidRDefault="00F87C45" w:rsidP="009B0BBF">
      <w:pPr>
        <w:pStyle w:val="BodyText"/>
      </w:pPr>
      <w:r w:rsidRPr="00AE42B4">
        <w:tab/>
      </w:r>
      <w:r w:rsidRPr="00AE42B4">
        <w:tab/>
      </w:r>
      <w:r w:rsidRPr="00AE42B4">
        <w:tab/>
        <w:t>19. All documents related to the preparation of the Contractor’s bid including the final calculations on which the bid was based;</w:t>
      </w:r>
    </w:p>
    <w:p w14:paraId="5D50F322" w14:textId="77777777" w:rsidR="00F87C45" w:rsidRPr="00AE42B4" w:rsidRDefault="00F87C45" w:rsidP="009B0BBF">
      <w:pPr>
        <w:pStyle w:val="BodyText"/>
      </w:pPr>
      <w:r w:rsidRPr="00AE42B4">
        <w:lastRenderedPageBreak/>
        <w:tab/>
      </w:r>
      <w:r w:rsidRPr="00AE42B4">
        <w:tab/>
      </w:r>
      <w:r w:rsidRPr="00AE42B4">
        <w:tab/>
        <w:t>20. All documents which relate to each and every claim together with all documents which support the amount of damages as to each claim;</w:t>
      </w:r>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50470A">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FB6E1B8" w14:textId="77777777" w:rsidR="005D448A" w:rsidRPr="003D28EB" w:rsidRDefault="005D448A" w:rsidP="005D448A">
      <w:pPr>
        <w:pStyle w:val="Article"/>
      </w:pPr>
      <w:bookmarkStart w:id="13" w:name="_Toc52537757"/>
      <w:bookmarkStart w:id="14" w:name="_Toc52538041"/>
      <w:r w:rsidRPr="00E54181">
        <w:t>6-5 Products and Source of Supply.</w:t>
      </w:r>
    </w:p>
    <w:p w14:paraId="75FE0A49" w14:textId="77777777" w:rsidR="005D448A" w:rsidRPr="003D28EB" w:rsidRDefault="005D448A" w:rsidP="005D448A">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2DDD866F" w14:textId="77777777" w:rsidR="005D448A" w:rsidRPr="003D28EB" w:rsidRDefault="005D448A" w:rsidP="005D448A">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267B2A2A" w14:textId="77777777" w:rsidR="005D448A" w:rsidRPr="003D28EB" w:rsidRDefault="005D448A" w:rsidP="005D448A">
      <w:pPr>
        <w:pStyle w:val="BodyText"/>
      </w:pPr>
      <w:r w:rsidRPr="003D28EB">
        <w:tab/>
      </w:r>
      <w:r w:rsidRPr="003D28EB">
        <w:tab/>
      </w:r>
      <w:r w:rsidRPr="003D28EB">
        <w:tab/>
        <w:t xml:space="preserve">1. </w:t>
      </w:r>
      <w:r>
        <w:t>M</w:t>
      </w:r>
      <w:r w:rsidRPr="003D28EB">
        <w:t>aterials produced by convicts on parole, supervised release, or probation from a prison or,</w:t>
      </w:r>
    </w:p>
    <w:p w14:paraId="5E0D5EEE" w14:textId="77777777" w:rsidR="005D448A" w:rsidRPr="003D28EB" w:rsidRDefault="005D448A" w:rsidP="005D448A">
      <w:pPr>
        <w:pStyle w:val="BodyText"/>
      </w:pPr>
      <w:r w:rsidRPr="003D28EB">
        <w:tab/>
      </w:r>
      <w:r w:rsidRPr="003D28EB">
        <w:tab/>
      </w:r>
      <w:r w:rsidRPr="003D28EB">
        <w:tab/>
        <w:t xml:space="preserve">2. </w:t>
      </w:r>
      <w:r>
        <w:t>M</w:t>
      </w:r>
      <w:r w:rsidRPr="003D28EB">
        <w:t>aterials produced in a qualified prison facility.</w:t>
      </w:r>
    </w:p>
    <w:p w14:paraId="41FFA9DA" w14:textId="77777777" w:rsidR="005D448A" w:rsidRPr="003D28EB" w:rsidRDefault="005D448A" w:rsidP="005D448A">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3B2C7113" w14:textId="7483AFFA" w:rsidR="00B804F6" w:rsidRPr="00C57AF8" w:rsidRDefault="00B804F6" w:rsidP="00B804F6">
      <w:pPr>
        <w:pStyle w:val="BodyText"/>
      </w:pPr>
      <w:bookmarkStart w:id="15"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w:t>
      </w:r>
      <w:proofErr w:type="gramStart"/>
      <w:r>
        <w:t>on</w:t>
      </w:r>
      <w:proofErr w:type="gramEnd"/>
      <w:r>
        <w:t xml:space="preserve"> the APL. The list of affected articles, materials, and supplies that have been added to the APL and are not identified in each individual Section can be found at the following URL: </w:t>
      </w:r>
      <w:hyperlink r:id="rId11" w:history="1">
        <w:r w:rsidRPr="0072377C">
          <w:rPr>
            <w:rStyle w:val="Hyperlink"/>
            <w:rFonts w:eastAsiaTheme="minorHAnsi"/>
          </w:rPr>
          <w:t>https://www.fdot.gov/programmanagement/ProductEvaluation/Default.shtm</w:t>
        </w:r>
      </w:hyperlink>
      <w:r>
        <w:t>.</w:t>
      </w:r>
    </w:p>
    <w:bookmarkEnd w:id="15"/>
    <w:p w14:paraId="32FAAA9D" w14:textId="77777777" w:rsidR="00B804F6" w:rsidRPr="008B4388" w:rsidRDefault="00B804F6" w:rsidP="00B804F6">
      <w:pPr>
        <w:pStyle w:val="BodyText"/>
      </w:pPr>
      <w:r>
        <w:rPr>
          <w:b/>
          <w:bCs/>
        </w:rPr>
        <w:tab/>
      </w:r>
      <w:r>
        <w:rPr>
          <w:b/>
          <w:bCs/>
        </w:rPr>
        <w:tab/>
      </w:r>
      <w:r w:rsidRPr="003D28EB">
        <w:rPr>
          <w:b/>
          <w:bCs/>
        </w:rPr>
        <w:t>6-5.2</w:t>
      </w:r>
      <w:r w:rsidRPr="1227A6E1">
        <w:rPr>
          <w:b/>
          <w:bCs/>
        </w:rPr>
        <w:t>.</w:t>
      </w:r>
      <w:bookmarkStart w:id="16" w:name="_Hlk121290790"/>
      <w:r w:rsidRPr="1227A6E1">
        <w:rPr>
          <w:b/>
          <w:bCs/>
        </w:rPr>
        <w:t>1</w:t>
      </w:r>
      <w:r w:rsidRPr="003D28EB">
        <w:rPr>
          <w:b/>
          <w:bCs/>
        </w:rPr>
        <w:t xml:space="preserve"> Steel</w:t>
      </w:r>
      <w:r w:rsidRPr="1227A6E1">
        <w:rPr>
          <w:b/>
          <w:bCs/>
        </w:rPr>
        <w:t xml:space="preserve"> and Iron</w:t>
      </w:r>
      <w:bookmarkEnd w:id="16"/>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w:t>
      </w:r>
      <w:r w:rsidRPr="00861E69">
        <w:lastRenderedPageBreak/>
        <w:t xml:space="preserve">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5570122A" w14:textId="77777777" w:rsidR="00B804F6" w:rsidRDefault="00B804F6" w:rsidP="00B804F6">
      <w:pPr>
        <w:pStyle w:val="BodyText"/>
      </w:pPr>
      <w:bookmarkStart w:id="17"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4775B9E3" w14:textId="77777777" w:rsidR="00B804F6" w:rsidRPr="003D28EB" w:rsidRDefault="00B804F6" w:rsidP="00B804F6">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0A691122" w14:textId="77777777" w:rsidR="00B804F6" w:rsidRDefault="00B804F6" w:rsidP="00B804F6">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17"/>
    <w:p w14:paraId="4BADB8D7" w14:textId="77777777" w:rsidR="005D448A" w:rsidRPr="0003681E" w:rsidRDefault="005D448A" w:rsidP="005D448A">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12B69F3C" w14:textId="3120C8C3" w:rsidR="00F97060" w:rsidRPr="00F97060" w:rsidRDefault="0079156D" w:rsidP="0050470A">
      <w:pPr>
        <w:pStyle w:val="Heading2"/>
      </w:pPr>
      <w:r>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766A76FC" w14:textId="77777777" w:rsidR="00D53CB0" w:rsidRDefault="001F5719" w:rsidP="00D53CB0">
      <w:pPr>
        <w:pStyle w:val="BodyText"/>
      </w:pPr>
      <w:r>
        <w:tab/>
      </w:r>
      <w:r w:rsidRPr="001E556E">
        <w:rPr>
          <w:b/>
          <w:bCs/>
        </w:rPr>
        <w:t>7-1.1</w:t>
      </w:r>
      <w:r w:rsidRPr="00584129">
        <w:rPr>
          <w:b/>
        </w:rPr>
        <w:t>Compliance with FHWA 1273:</w:t>
      </w:r>
      <w:r>
        <w:t xml:space="preserve"> </w:t>
      </w:r>
      <w:r w:rsidR="00D53CB0">
        <w:t xml:space="preserve">The FHWA-1273 Electronic version, dated October 23, </w:t>
      </w:r>
      <w:proofErr w:type="gramStart"/>
      <w:r w:rsidR="00D53CB0">
        <w:t>2023</w:t>
      </w:r>
      <w:proofErr w:type="gramEnd"/>
      <w:r w:rsidR="00D53CB0">
        <w:t xml:space="preserve"> is posted on the Department’s website at the following URL address:</w:t>
      </w:r>
    </w:p>
    <w:p w14:paraId="6D63941C" w14:textId="77777777" w:rsidR="00D53CB0" w:rsidRDefault="00FB3542" w:rsidP="00D53CB0">
      <w:pPr>
        <w:pStyle w:val="BodyText"/>
      </w:pPr>
      <w:hyperlink r:id="rId12" w:history="1">
        <w:r w:rsidR="00D53CB0" w:rsidRPr="00854E04">
          <w:rPr>
            <w:rStyle w:val="Hyperlink"/>
          </w:rPr>
          <w:t>https://fdotwww.blob.core.windows.net/sitefinity/docs/default-source/programmanagement/implemented/urlinspecs/files/fhwa_1273_revised-10-23-23.pdf?sfvrsn=d7604d20_1</w:t>
        </w:r>
      </w:hyperlink>
    </w:p>
    <w:p w14:paraId="0C80F2F1" w14:textId="2035EC09" w:rsidR="00FD613F" w:rsidRDefault="00FD613F" w:rsidP="00D53CB0">
      <w:pPr>
        <w:pStyle w:val="BodyText"/>
      </w:pPr>
      <w:r>
        <w:t xml:space="preserve">Take responsibility to obtain this information and comply with all requirements posted on this website up </w:t>
      </w:r>
      <w:proofErr w:type="gramStart"/>
      <w:r>
        <w:t>through</w:t>
      </w:r>
      <w:proofErr w:type="gramEnd"/>
      <w:r>
        <w:t xml:space="preserve">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lastRenderedPageBreak/>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3"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1F5719">
      <w:pPr>
        <w:pStyle w:val="Article"/>
      </w:pPr>
      <w:r>
        <w:lastRenderedPageBreak/>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2170"/>
        <w:gridCol w:w="6152"/>
      </w:tblGrid>
      <w:tr w:rsidR="006D73B3" w14:paraId="2AECC648" w14:textId="77777777" w:rsidTr="006D73B3">
        <w:tc>
          <w:tcPr>
            <w:tcW w:w="541" w:type="pct"/>
            <w:shd w:val="clear" w:color="auto" w:fill="auto"/>
            <w:vAlign w:val="center"/>
          </w:tcPr>
          <w:p w14:paraId="6D5F3195" w14:textId="77777777" w:rsidR="006D73B3" w:rsidRPr="003E7B78" w:rsidRDefault="006D73B3" w:rsidP="00CB5474">
            <w:pPr>
              <w:pStyle w:val="BodyText"/>
              <w:jc w:val="center"/>
            </w:pPr>
            <w:bookmarkStart w:id="18" w:name="_Hlk118882770"/>
            <w:r w:rsidRPr="003E7B78">
              <w:t>Wage Rate Decision Number</w:t>
            </w:r>
          </w:p>
        </w:tc>
        <w:tc>
          <w:tcPr>
            <w:tcW w:w="1161" w:type="pct"/>
            <w:vAlign w:val="center"/>
          </w:tcPr>
          <w:p w14:paraId="77FE11AB" w14:textId="77777777" w:rsidR="006D73B3" w:rsidRPr="003E7B78" w:rsidRDefault="006D73B3" w:rsidP="00CB5474">
            <w:pPr>
              <w:pStyle w:val="BodyText"/>
              <w:jc w:val="center"/>
            </w:pPr>
            <w:r w:rsidRPr="003E7B78">
              <w:t>County</w:t>
            </w:r>
          </w:p>
        </w:tc>
        <w:tc>
          <w:tcPr>
            <w:tcW w:w="3298" w:type="pct"/>
            <w:shd w:val="clear" w:color="auto" w:fill="auto"/>
            <w:vAlign w:val="center"/>
          </w:tcPr>
          <w:p w14:paraId="68F8C6BA" w14:textId="77777777" w:rsidR="006D73B3" w:rsidRPr="003E7B78" w:rsidRDefault="006D73B3" w:rsidP="00CB5474">
            <w:pPr>
              <w:pStyle w:val="BodyText"/>
              <w:jc w:val="center"/>
            </w:pPr>
            <w:r w:rsidRPr="003E7B78">
              <w:t>Associated Work</w:t>
            </w:r>
          </w:p>
        </w:tc>
      </w:tr>
      <w:tr w:rsidR="006D73B3" w14:paraId="075ED673" w14:textId="77777777" w:rsidTr="006D73B3">
        <w:tc>
          <w:tcPr>
            <w:tcW w:w="541" w:type="pct"/>
            <w:shd w:val="clear" w:color="auto" w:fill="FFFFFF"/>
            <w:vAlign w:val="center"/>
          </w:tcPr>
          <w:p w14:paraId="587F8388" w14:textId="77777777" w:rsidR="006D73B3" w:rsidRPr="00B77A6F" w:rsidRDefault="006D73B3" w:rsidP="00CB5474">
            <w:pPr>
              <w:pStyle w:val="BodyText"/>
              <w:jc w:val="center"/>
            </w:pPr>
            <w:bookmarkStart w:id="19" w:name="Wage1"/>
            <w:r w:rsidRPr="003E7B78">
              <w:rPr>
                <w:highlight w:val="yellow"/>
              </w:rPr>
              <w:t>_____</w:t>
            </w:r>
            <w:bookmarkEnd w:id="19"/>
          </w:p>
        </w:tc>
        <w:tc>
          <w:tcPr>
            <w:tcW w:w="1161" w:type="pct"/>
            <w:shd w:val="clear" w:color="auto" w:fill="FFFFFF"/>
          </w:tcPr>
          <w:p w14:paraId="2EE5EE45" w14:textId="77777777" w:rsidR="006D73B3" w:rsidRPr="00FD0D16" w:rsidRDefault="006D73B3" w:rsidP="00CB5474">
            <w:pPr>
              <w:pStyle w:val="BodyText"/>
              <w:jc w:val="center"/>
            </w:pPr>
            <w:r w:rsidRPr="00FD0D16">
              <w:t>_</w:t>
            </w:r>
            <w:bookmarkStart w:id="20" w:name="County1"/>
            <w:r w:rsidRPr="003E7B78">
              <w:rPr>
                <w:highlight w:val="yellow"/>
              </w:rPr>
              <w:t>________________</w:t>
            </w:r>
            <w:bookmarkEnd w:id="20"/>
            <w:r w:rsidRPr="00FD0D16">
              <w:t>_</w:t>
            </w:r>
          </w:p>
        </w:tc>
        <w:tc>
          <w:tcPr>
            <w:tcW w:w="3298" w:type="pct"/>
            <w:shd w:val="clear" w:color="auto" w:fill="FFFFFF"/>
            <w:vAlign w:val="center"/>
          </w:tcPr>
          <w:p w14:paraId="45F29C31" w14:textId="77777777" w:rsidR="006D73B3" w:rsidRPr="00FD0D16" w:rsidRDefault="006D73B3" w:rsidP="00CB5474">
            <w:pPr>
              <w:pStyle w:val="BodyText"/>
              <w:jc w:val="center"/>
            </w:pPr>
            <w:r w:rsidRPr="00FD0D16">
              <w:t>_</w:t>
            </w:r>
            <w:bookmarkStart w:id="21" w:name="Work1"/>
            <w:r w:rsidRPr="003E7B78">
              <w:rPr>
                <w:highlight w:val="yellow"/>
              </w:rPr>
              <w:t>________________________________________________</w:t>
            </w:r>
            <w:bookmarkEnd w:id="21"/>
            <w:r w:rsidRPr="00FD0D16">
              <w:t>__</w:t>
            </w:r>
          </w:p>
        </w:tc>
      </w:tr>
      <w:tr w:rsidR="006D73B3" w14:paraId="3A237A2A" w14:textId="77777777" w:rsidTr="006D73B3">
        <w:tc>
          <w:tcPr>
            <w:tcW w:w="541" w:type="pct"/>
            <w:shd w:val="clear" w:color="auto" w:fill="FFFFFF"/>
            <w:vAlign w:val="center"/>
          </w:tcPr>
          <w:p w14:paraId="5C55BAAA" w14:textId="77777777" w:rsidR="006D73B3" w:rsidRPr="00FD0D16" w:rsidRDefault="006D73B3" w:rsidP="00CB5474">
            <w:pPr>
              <w:pStyle w:val="BodyText"/>
              <w:jc w:val="center"/>
            </w:pPr>
            <w:r w:rsidRPr="00FD0D16">
              <w:t>_</w:t>
            </w:r>
            <w:bookmarkStart w:id="22" w:name="Wage2"/>
            <w:r w:rsidRPr="00FD0D16">
              <w:t>_</w:t>
            </w:r>
            <w:r w:rsidRPr="003E7B78">
              <w:rPr>
                <w:highlight w:val="yellow"/>
              </w:rPr>
              <w:t>_____</w:t>
            </w:r>
            <w:bookmarkEnd w:id="22"/>
            <w:r w:rsidRPr="00FD0D16">
              <w:t>_</w:t>
            </w:r>
          </w:p>
        </w:tc>
        <w:tc>
          <w:tcPr>
            <w:tcW w:w="1161" w:type="pct"/>
            <w:shd w:val="clear" w:color="auto" w:fill="FFFFFF"/>
          </w:tcPr>
          <w:p w14:paraId="5FE6F122" w14:textId="77777777" w:rsidR="006D73B3" w:rsidRPr="00FD0D16" w:rsidRDefault="006D73B3" w:rsidP="00CB5474">
            <w:pPr>
              <w:pStyle w:val="BodyText"/>
              <w:jc w:val="center"/>
            </w:pPr>
            <w:r w:rsidRPr="00FD0D16">
              <w:t>_</w:t>
            </w:r>
            <w:bookmarkStart w:id="23" w:name="County2"/>
            <w:r w:rsidRPr="003E7B78">
              <w:rPr>
                <w:highlight w:val="yellow"/>
              </w:rPr>
              <w:t>________________</w:t>
            </w:r>
            <w:bookmarkEnd w:id="23"/>
            <w:r w:rsidRPr="00FD0D16">
              <w:t>_</w:t>
            </w:r>
          </w:p>
        </w:tc>
        <w:tc>
          <w:tcPr>
            <w:tcW w:w="3298" w:type="pct"/>
            <w:shd w:val="clear" w:color="auto" w:fill="FFFFFF"/>
            <w:vAlign w:val="center"/>
          </w:tcPr>
          <w:p w14:paraId="39BD9C57" w14:textId="77777777" w:rsidR="006D73B3" w:rsidRPr="00FD0D16" w:rsidRDefault="006D73B3" w:rsidP="00CB5474">
            <w:pPr>
              <w:pStyle w:val="BodyText"/>
              <w:jc w:val="center"/>
            </w:pPr>
            <w:r w:rsidRPr="00FD0D16">
              <w:t>_</w:t>
            </w:r>
            <w:bookmarkStart w:id="24" w:name="Work2"/>
            <w:r w:rsidRPr="003E7B78">
              <w:rPr>
                <w:highlight w:val="yellow"/>
              </w:rPr>
              <w:t>________________________________________________</w:t>
            </w:r>
            <w:bookmarkEnd w:id="24"/>
            <w:r w:rsidRPr="00FD0D16">
              <w:t>__</w:t>
            </w:r>
          </w:p>
        </w:tc>
      </w:tr>
      <w:bookmarkEnd w:id="18"/>
    </w:tbl>
    <w:p w14:paraId="4948AE0D" w14:textId="77777777" w:rsidR="0069220A" w:rsidRDefault="0069220A" w:rsidP="0069220A">
      <w:pPr>
        <w:pStyle w:val="BodyText"/>
      </w:pPr>
    </w:p>
    <w:p w14:paraId="044A0FD4" w14:textId="2355A7C3" w:rsidR="0069220A" w:rsidRDefault="0069220A" w:rsidP="0069220A">
      <w:pPr>
        <w:pStyle w:val="BodyText"/>
      </w:pPr>
      <w:r>
        <w:t>Review the General Decisions for all classifications necessary to complete the project. Request additional classifications through the Engineer’s office when needed.</w:t>
      </w:r>
    </w:p>
    <w:p w14:paraId="4FF41695" w14:textId="5BC6447E" w:rsidR="0069220A" w:rsidRDefault="0069220A" w:rsidP="001F5719">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 xml:space="preserve">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w:t>
      </w:r>
      <w:r w:rsidRPr="0012578E">
        <w:rPr>
          <w:strike/>
        </w:rPr>
        <w:lastRenderedPageBreak/>
        <w:t>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w:t>
      </w:r>
      <w:proofErr w:type="gramStart"/>
      <w:r w:rsidRPr="00A47680">
        <w:t>to  DBEs</w:t>
      </w:r>
      <w:proofErr w:type="gramEnd"/>
      <w:r w:rsidRPr="00A47680">
        <w:t>;</w:t>
      </w:r>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w:t>
      </w:r>
      <w:r w:rsidRPr="006F663D">
        <w:lastRenderedPageBreak/>
        <w:t xml:space="preserve">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w:t>
      </w:r>
      <w:proofErr w:type="gramStart"/>
      <w:r w:rsidRPr="006F663D">
        <w:t>actually performing</w:t>
      </w:r>
      <w:proofErr w:type="gramEnd"/>
      <w:r w:rsidRPr="006F663D">
        <w:t xml:space="preserve">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lastRenderedPageBreak/>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1F5719">
      <w:pPr>
        <w:pStyle w:val="Article"/>
      </w:pPr>
      <w:r w:rsidRPr="009C4EC7">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69220A" w:rsidRPr="009C4EC7" w14:paraId="5AB69AED" w14:textId="77777777" w:rsidTr="00BA3FB5">
        <w:trPr>
          <w:tblHeader/>
        </w:trPr>
        <w:tc>
          <w:tcPr>
            <w:tcW w:w="3764" w:type="pct"/>
          </w:tcPr>
          <w:p w14:paraId="0CD6F584" w14:textId="77777777" w:rsidR="0069220A" w:rsidRPr="009C4EC7" w:rsidRDefault="0069220A" w:rsidP="00741882">
            <w:pPr>
              <w:pStyle w:val="BodyText"/>
              <w:jc w:val="center"/>
            </w:pPr>
            <w:r w:rsidRPr="009C4EC7">
              <w:t>Estimated Contract Amount</w:t>
            </w:r>
          </w:p>
        </w:tc>
        <w:tc>
          <w:tcPr>
            <w:tcW w:w="1236" w:type="pct"/>
          </w:tcPr>
          <w:p w14:paraId="2D957BAE" w14:textId="77777777" w:rsidR="0069220A" w:rsidRPr="009C4EC7" w:rsidRDefault="0069220A" w:rsidP="00741882">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741882">
            <w:pPr>
              <w:pStyle w:val="BodyText"/>
              <w:jc w:val="center"/>
            </w:pPr>
            <w:r w:rsidRPr="009C4EC7">
              <w:t>$2,000,000 or less</w:t>
            </w:r>
          </w:p>
        </w:tc>
        <w:tc>
          <w:tcPr>
            <w:tcW w:w="1236" w:type="pct"/>
          </w:tcPr>
          <w:p w14:paraId="18FD77B9" w14:textId="77777777" w:rsidR="0069220A" w:rsidRPr="009C4EC7" w:rsidRDefault="0069220A" w:rsidP="00741882">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741882">
            <w:pPr>
              <w:pStyle w:val="BodyText"/>
              <w:jc w:val="center"/>
            </w:pPr>
            <w:r w:rsidRPr="009C4EC7">
              <w:t>Over $2,000,000 to $4,000,000</w:t>
            </w:r>
          </w:p>
        </w:tc>
        <w:tc>
          <w:tcPr>
            <w:tcW w:w="1236" w:type="pct"/>
          </w:tcPr>
          <w:p w14:paraId="12DC0D72" w14:textId="77777777" w:rsidR="0069220A" w:rsidRPr="009C4EC7" w:rsidRDefault="0069220A" w:rsidP="00741882">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741882">
            <w:pPr>
              <w:pStyle w:val="BodyText"/>
              <w:jc w:val="center"/>
            </w:pPr>
            <w:r w:rsidRPr="009C4EC7">
              <w:t>Over $4,000,000 to $6,000,000</w:t>
            </w:r>
          </w:p>
        </w:tc>
        <w:tc>
          <w:tcPr>
            <w:tcW w:w="1236" w:type="pct"/>
          </w:tcPr>
          <w:p w14:paraId="74A169A1" w14:textId="77777777" w:rsidR="0069220A" w:rsidRPr="009C4EC7" w:rsidRDefault="0069220A" w:rsidP="00741882">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741882">
            <w:pPr>
              <w:pStyle w:val="BodyText"/>
              <w:jc w:val="center"/>
            </w:pPr>
            <w:r w:rsidRPr="009C4EC7">
              <w:t>Over $6,000,000 to $12,000,000</w:t>
            </w:r>
          </w:p>
        </w:tc>
        <w:tc>
          <w:tcPr>
            <w:tcW w:w="1236" w:type="pct"/>
          </w:tcPr>
          <w:p w14:paraId="7DC4E46A" w14:textId="77777777" w:rsidR="0069220A" w:rsidRPr="009C4EC7" w:rsidRDefault="0069220A" w:rsidP="00741882">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741882">
            <w:pPr>
              <w:pStyle w:val="BodyText"/>
              <w:jc w:val="center"/>
            </w:pPr>
            <w:r w:rsidRPr="009C4EC7">
              <w:t>Over $12,000,000 to $18,000,000</w:t>
            </w:r>
          </w:p>
        </w:tc>
        <w:tc>
          <w:tcPr>
            <w:tcW w:w="1236" w:type="pct"/>
          </w:tcPr>
          <w:p w14:paraId="427B176D" w14:textId="77777777" w:rsidR="0069220A" w:rsidRPr="009C4EC7" w:rsidRDefault="0069220A" w:rsidP="00741882">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741882">
            <w:pPr>
              <w:pStyle w:val="BodyText"/>
              <w:jc w:val="center"/>
            </w:pPr>
            <w:r w:rsidRPr="009C4EC7">
              <w:t>Over $18,000,000 to $24,000,000</w:t>
            </w:r>
          </w:p>
        </w:tc>
        <w:tc>
          <w:tcPr>
            <w:tcW w:w="1236" w:type="pct"/>
          </w:tcPr>
          <w:p w14:paraId="13E85531" w14:textId="77777777" w:rsidR="0069220A" w:rsidRPr="009C4EC7" w:rsidRDefault="0069220A" w:rsidP="00741882">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741882">
            <w:pPr>
              <w:pStyle w:val="BodyText"/>
              <w:jc w:val="center"/>
            </w:pPr>
            <w:r w:rsidRPr="009C4EC7">
              <w:t>Over $24,000,000 to $31,000,000</w:t>
            </w:r>
          </w:p>
        </w:tc>
        <w:tc>
          <w:tcPr>
            <w:tcW w:w="1236" w:type="pct"/>
          </w:tcPr>
          <w:p w14:paraId="6B335E75" w14:textId="77777777" w:rsidR="0069220A" w:rsidRPr="009C4EC7" w:rsidRDefault="0069220A" w:rsidP="00741882">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741882">
            <w:pPr>
              <w:pStyle w:val="BodyText"/>
              <w:jc w:val="center"/>
            </w:pPr>
            <w:r w:rsidRPr="009C4EC7">
              <w:t>Over $31,000,000 to $37,000,000</w:t>
            </w:r>
          </w:p>
        </w:tc>
        <w:tc>
          <w:tcPr>
            <w:tcW w:w="1236" w:type="pct"/>
          </w:tcPr>
          <w:p w14:paraId="53CADF06" w14:textId="77777777" w:rsidR="0069220A" w:rsidRPr="009C4EC7" w:rsidRDefault="0069220A" w:rsidP="00741882">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741882">
            <w:pPr>
              <w:pStyle w:val="BodyText"/>
              <w:jc w:val="center"/>
            </w:pPr>
            <w:r w:rsidRPr="009C4EC7">
              <w:t>Over $37,000,000 to $43,000,000</w:t>
            </w:r>
          </w:p>
        </w:tc>
        <w:tc>
          <w:tcPr>
            <w:tcW w:w="1236" w:type="pct"/>
          </w:tcPr>
          <w:p w14:paraId="18907FA8" w14:textId="77777777" w:rsidR="0069220A" w:rsidRPr="009C4EC7" w:rsidRDefault="0069220A" w:rsidP="00741882">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741882">
            <w:pPr>
              <w:pStyle w:val="BodyText"/>
              <w:jc w:val="center"/>
            </w:pPr>
            <w:r w:rsidRPr="009C4EC7">
              <w:t>Over $43,000,000 to $49,000,000</w:t>
            </w:r>
          </w:p>
        </w:tc>
        <w:tc>
          <w:tcPr>
            <w:tcW w:w="1236" w:type="pct"/>
          </w:tcPr>
          <w:p w14:paraId="23A6B328" w14:textId="77777777" w:rsidR="0069220A" w:rsidRPr="009C4EC7" w:rsidRDefault="0069220A" w:rsidP="00741882">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741882">
            <w:pPr>
              <w:pStyle w:val="BodyText"/>
              <w:jc w:val="center"/>
            </w:pPr>
            <w:r w:rsidRPr="009C4EC7">
              <w:t>Over $49,000,000 to $55,000,000</w:t>
            </w:r>
          </w:p>
        </w:tc>
        <w:tc>
          <w:tcPr>
            <w:tcW w:w="1236" w:type="pct"/>
          </w:tcPr>
          <w:p w14:paraId="4E5DFB61" w14:textId="77777777" w:rsidR="0069220A" w:rsidRPr="009C4EC7" w:rsidRDefault="0069220A" w:rsidP="00741882">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741882">
            <w:pPr>
              <w:pStyle w:val="BodyText"/>
              <w:jc w:val="center"/>
            </w:pPr>
            <w:r w:rsidRPr="009C4EC7">
              <w:t>Over $55,000,000 to $62,000,000</w:t>
            </w:r>
          </w:p>
        </w:tc>
        <w:tc>
          <w:tcPr>
            <w:tcW w:w="1236" w:type="pct"/>
          </w:tcPr>
          <w:p w14:paraId="0C730728" w14:textId="77777777" w:rsidR="0069220A" w:rsidRPr="009C4EC7" w:rsidRDefault="0069220A" w:rsidP="00741882">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741882">
            <w:pPr>
              <w:pStyle w:val="BodyText"/>
              <w:jc w:val="center"/>
            </w:pPr>
            <w:r w:rsidRPr="009C4EC7">
              <w:t>Over $62,000,000 to $68,000,000</w:t>
            </w:r>
          </w:p>
        </w:tc>
        <w:tc>
          <w:tcPr>
            <w:tcW w:w="1236" w:type="pct"/>
          </w:tcPr>
          <w:p w14:paraId="099B8F36" w14:textId="77777777" w:rsidR="0069220A" w:rsidRPr="009C4EC7" w:rsidRDefault="0069220A" w:rsidP="00741882">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741882">
            <w:pPr>
              <w:pStyle w:val="BodyText"/>
              <w:jc w:val="center"/>
            </w:pPr>
            <w:r w:rsidRPr="009C4EC7">
              <w:t>Over $68,000,000 to $74,000,000</w:t>
            </w:r>
          </w:p>
        </w:tc>
        <w:tc>
          <w:tcPr>
            <w:tcW w:w="1236" w:type="pct"/>
          </w:tcPr>
          <w:p w14:paraId="634F597F" w14:textId="77777777" w:rsidR="0069220A" w:rsidRPr="009C4EC7" w:rsidRDefault="0069220A" w:rsidP="00741882">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741882">
            <w:pPr>
              <w:pStyle w:val="BodyText"/>
              <w:jc w:val="center"/>
            </w:pPr>
            <w:r w:rsidRPr="009C4EC7">
              <w:t>Over $74,000,000 to $81,000,000</w:t>
            </w:r>
          </w:p>
        </w:tc>
        <w:tc>
          <w:tcPr>
            <w:tcW w:w="1236" w:type="pct"/>
          </w:tcPr>
          <w:p w14:paraId="073F171D" w14:textId="77777777" w:rsidR="0069220A" w:rsidRPr="009C4EC7" w:rsidRDefault="0069220A" w:rsidP="00741882">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741882">
            <w:pPr>
              <w:pStyle w:val="BodyText"/>
              <w:jc w:val="center"/>
            </w:pPr>
            <w:r w:rsidRPr="009C4EC7">
              <w:t>Over $81,000,000 to $87,000,000</w:t>
            </w:r>
          </w:p>
        </w:tc>
        <w:tc>
          <w:tcPr>
            <w:tcW w:w="1236" w:type="pct"/>
          </w:tcPr>
          <w:p w14:paraId="2BB5AD51" w14:textId="77777777" w:rsidR="0069220A" w:rsidRPr="009C4EC7" w:rsidRDefault="0069220A" w:rsidP="00741882">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741882">
            <w:pPr>
              <w:pStyle w:val="BodyText"/>
              <w:jc w:val="center"/>
            </w:pPr>
            <w:r w:rsidRPr="009C4EC7">
              <w:t>Over $87,000,000 to $93,000,000</w:t>
            </w:r>
          </w:p>
        </w:tc>
        <w:tc>
          <w:tcPr>
            <w:tcW w:w="1236" w:type="pct"/>
          </w:tcPr>
          <w:p w14:paraId="4F85779C" w14:textId="77777777" w:rsidR="0069220A" w:rsidRPr="009C4EC7" w:rsidRDefault="0069220A" w:rsidP="00741882">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741882">
            <w:pPr>
              <w:pStyle w:val="BodyText"/>
              <w:jc w:val="center"/>
            </w:pPr>
            <w:r w:rsidRPr="009C4EC7">
              <w:t>Over $93,000,000 to $99,000,000</w:t>
            </w:r>
          </w:p>
        </w:tc>
        <w:tc>
          <w:tcPr>
            <w:tcW w:w="1236" w:type="pct"/>
          </w:tcPr>
          <w:p w14:paraId="2A67D366" w14:textId="77777777" w:rsidR="0069220A" w:rsidRPr="009C4EC7" w:rsidRDefault="0069220A" w:rsidP="00741882">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741882">
            <w:pPr>
              <w:pStyle w:val="BodyText"/>
              <w:jc w:val="center"/>
            </w:pPr>
            <w:r w:rsidRPr="009C4EC7">
              <w:t>Over $99,000,000 to $105,000,000</w:t>
            </w:r>
          </w:p>
        </w:tc>
        <w:tc>
          <w:tcPr>
            <w:tcW w:w="1236" w:type="pct"/>
          </w:tcPr>
          <w:p w14:paraId="4EB24820" w14:textId="77777777" w:rsidR="0069220A" w:rsidRPr="009C4EC7" w:rsidRDefault="0069220A" w:rsidP="00741882">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741882">
            <w:pPr>
              <w:pStyle w:val="BodyText"/>
              <w:jc w:val="center"/>
            </w:pPr>
            <w:r w:rsidRPr="009C4EC7">
              <w:t>Over $105,000,000 to $112,000,000</w:t>
            </w:r>
          </w:p>
        </w:tc>
        <w:tc>
          <w:tcPr>
            <w:tcW w:w="1236" w:type="pct"/>
          </w:tcPr>
          <w:p w14:paraId="45130961" w14:textId="77777777" w:rsidR="0069220A" w:rsidRPr="009C4EC7" w:rsidRDefault="0069220A" w:rsidP="00741882">
            <w:pPr>
              <w:pStyle w:val="BodyText"/>
              <w:jc w:val="center"/>
            </w:pPr>
            <w:r w:rsidRPr="009C4EC7">
              <w:t>25</w:t>
            </w:r>
          </w:p>
        </w:tc>
      </w:tr>
      <w:tr w:rsidR="0069220A" w:rsidRPr="009C4EC7" w14:paraId="0922EC16" w14:textId="77777777" w:rsidTr="00BA3FB5">
        <w:tc>
          <w:tcPr>
            <w:tcW w:w="3764" w:type="pct"/>
          </w:tcPr>
          <w:p w14:paraId="04DBBDFC" w14:textId="37672234" w:rsidR="0069220A" w:rsidRPr="009C4EC7" w:rsidRDefault="0069220A" w:rsidP="00741882">
            <w:pPr>
              <w:pStyle w:val="BodyText"/>
              <w:jc w:val="center"/>
            </w:pPr>
            <w:r w:rsidRPr="009C4EC7">
              <w:t>Over $112,000,000 to $118,000,000</w:t>
            </w:r>
          </w:p>
        </w:tc>
        <w:tc>
          <w:tcPr>
            <w:tcW w:w="1236" w:type="pct"/>
          </w:tcPr>
          <w:p w14:paraId="7D1426D6" w14:textId="77777777" w:rsidR="0069220A" w:rsidRPr="009C4EC7" w:rsidRDefault="0069220A" w:rsidP="00741882">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741882">
            <w:pPr>
              <w:pStyle w:val="BodyText"/>
              <w:jc w:val="center"/>
            </w:pPr>
            <w:r w:rsidRPr="009C4EC7">
              <w:lastRenderedPageBreak/>
              <w:t>Over $118,000,000 to $124,000,000</w:t>
            </w:r>
          </w:p>
        </w:tc>
        <w:tc>
          <w:tcPr>
            <w:tcW w:w="1236" w:type="pct"/>
          </w:tcPr>
          <w:p w14:paraId="59ABEE0A" w14:textId="77777777" w:rsidR="0069220A" w:rsidRPr="009C4EC7" w:rsidRDefault="0069220A" w:rsidP="00741882">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741882">
            <w:pPr>
              <w:pStyle w:val="BodyText"/>
              <w:jc w:val="center"/>
            </w:pPr>
            <w:r w:rsidRPr="009C4EC7">
              <w:t>Over $124,000,000 to $130,000,000</w:t>
            </w:r>
          </w:p>
        </w:tc>
        <w:tc>
          <w:tcPr>
            <w:tcW w:w="1236" w:type="pct"/>
          </w:tcPr>
          <w:p w14:paraId="6EEE2E41" w14:textId="77777777" w:rsidR="0069220A" w:rsidRPr="009C4EC7" w:rsidRDefault="0069220A" w:rsidP="00741882">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741882">
            <w:pPr>
              <w:pStyle w:val="BodyText"/>
              <w:jc w:val="center"/>
            </w:pPr>
            <w:r w:rsidRPr="009C4EC7">
              <w:t>Over $130,000,000 to *</w:t>
            </w:r>
          </w:p>
        </w:tc>
        <w:tc>
          <w:tcPr>
            <w:tcW w:w="1236" w:type="pct"/>
          </w:tcPr>
          <w:p w14:paraId="67322D8D" w14:textId="77777777" w:rsidR="0069220A" w:rsidRPr="009C4EC7" w:rsidRDefault="0069220A" w:rsidP="00741882">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741882">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741882">
            <w:pPr>
              <w:pStyle w:val="BodyText"/>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9B0BBF">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7827D973" w14:textId="77777777" w:rsidR="0069220A" w:rsidRPr="009C4EC7" w:rsidRDefault="0069220A" w:rsidP="009B0BBF">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 xml:space="preserve">Training and upgrading of minorities, women and economically disadvantaged persons toward journeyman status is a primary objective of this Section. Accordingly, the Contractor shall make every effort to enroll minority trainees and women (e.g., by conducting systematic </w:t>
      </w:r>
      <w:r w:rsidRPr="009C4EC7">
        <w:lastRenderedPageBreak/>
        <w:t>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51F0CB01" w14:textId="77777777" w:rsidR="0069220A" w:rsidRPr="009C4EC7" w:rsidRDefault="0069220A" w:rsidP="009B0BBF">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w:t>
      </w:r>
      <w:r w:rsidRPr="009C4EC7">
        <w:lastRenderedPageBreak/>
        <w:t>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lastRenderedPageBreak/>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4245418F" w14:textId="1255793F" w:rsidR="00FD613F" w:rsidRDefault="00FD613F" w:rsidP="001F5719">
      <w:pPr>
        <w:pStyle w:val="Article"/>
      </w:pPr>
      <w:r>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D58027A" w14:textId="413D937D" w:rsidR="00F97060" w:rsidRPr="00F97060" w:rsidRDefault="0079156D" w:rsidP="0050470A">
      <w:pPr>
        <w:pStyle w:val="Heading2"/>
      </w:pPr>
      <w:bookmarkStart w:id="25" w:name="_Toc52537758"/>
      <w:bookmarkStart w:id="26"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25"/>
      <w:bookmarkEnd w:id="26"/>
    </w:p>
    <w:p w14:paraId="7463E73F" w14:textId="77777777" w:rsidR="003E2E86" w:rsidRPr="003E2E86" w:rsidRDefault="003E2E86" w:rsidP="001F5719">
      <w:pPr>
        <w:pStyle w:val="Article"/>
      </w:pPr>
      <w:r w:rsidRPr="003E2E86">
        <w:t>8-1 Subletting or Assigning of Contracts.</w:t>
      </w:r>
    </w:p>
    <w:p w14:paraId="37AB4F6D" w14:textId="77777777" w:rsidR="003E2E86" w:rsidRPr="003E2E86" w:rsidRDefault="003E2E86" w:rsidP="009B0BBF">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w:t>
      </w:r>
      <w:r w:rsidR="003E2E86" w:rsidRPr="003E2E86">
        <w:lastRenderedPageBreak/>
        <w:t>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t>
      </w:r>
      <w:proofErr w:type="gramStart"/>
      <w:r w:rsidRPr="003E2E86">
        <w:t>weather</w:t>
      </w:r>
      <w:proofErr w:type="gramEnd"/>
      <w:r w:rsidRPr="003E2E86">
        <w:t>.</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lastRenderedPageBreak/>
        <w:tab/>
      </w:r>
      <w:r w:rsidRPr="003E2E86">
        <w:tab/>
      </w:r>
      <w:r w:rsidRPr="003E2E86">
        <w:tab/>
        <w:t>The Department will consider the affect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lastRenderedPageBreak/>
        <w:tab/>
      </w:r>
      <w:r w:rsidRPr="003E2E86">
        <w:tab/>
      </w:r>
      <w:r w:rsidRPr="003E2E86">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1F5719">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088FC8B7" w14:textId="77777777" w:rsidR="005752E7" w:rsidRPr="00F64605" w:rsidRDefault="005752E7" w:rsidP="005752E7">
      <w:pPr>
        <w:tabs>
          <w:tab w:val="left" w:pos="720"/>
        </w:tabs>
        <w:ind w:left="1440"/>
        <w:rPr>
          <w:szCs w:val="20"/>
          <w:u w:val="single"/>
        </w:rPr>
      </w:pPr>
      <w:r w:rsidRPr="00C708F5">
        <w:rPr>
          <w:rStyle w:val="BodyTextChar"/>
        </w:rPr>
        <w:t>Original Contract Amount</w:t>
      </w:r>
      <w:r w:rsidRPr="00C708F5">
        <w:rPr>
          <w:rStyle w:val="BodyTextChar"/>
        </w:rPr>
        <w:tab/>
        <w:t>Daily Charge Per Calendar Day</w:t>
      </w:r>
    </w:p>
    <w:p w14:paraId="0F13D406" w14:textId="4B5051C3" w:rsidR="005752E7" w:rsidRPr="00C708F5" w:rsidRDefault="005752E7" w:rsidP="005752E7">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06B99EDC" w14:textId="1B5C7FE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1A1005A3" w14:textId="06172AFD"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73B4FC07" w14:textId="0C41D30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01359321" w14:textId="42E7ED0E"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7F5A12C1" w14:textId="0F101744"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1D866F0B" w14:textId="1205E66F" w:rsidR="005752E7" w:rsidRPr="00F64605" w:rsidRDefault="005752E7" w:rsidP="005752E7">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495EBB02" w14:textId="0765DB90"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50470A">
      <w:pPr>
        <w:pStyle w:val="Heading2"/>
      </w:pPr>
      <w:bookmarkStart w:id="27" w:name="_Toc52537759"/>
      <w:bookmarkStart w:id="28" w:name="_Toc52538043"/>
      <w:r>
        <w:t>FROM SECTION</w:t>
      </w:r>
      <w:r w:rsidR="00C61A6B">
        <w:t xml:space="preserve"> 9</w:t>
      </w:r>
      <w:r w:rsidR="00A74F26">
        <w:t xml:space="preserve"> (</w:t>
      </w:r>
      <w:r w:rsidR="00CE4F01">
        <w:t>PARTIAL PAYMENTS</w:t>
      </w:r>
      <w:r w:rsidR="00B07D22">
        <w:t>).</w:t>
      </w:r>
      <w:bookmarkEnd w:id="27"/>
      <w:bookmarkEnd w:id="28"/>
    </w:p>
    <w:p w14:paraId="4A2C75A7" w14:textId="77777777" w:rsidR="005A16B1" w:rsidRDefault="005A16B1" w:rsidP="001F5719">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E984A60" w:rsidR="005A16B1" w:rsidRDefault="005A16B1" w:rsidP="005A16B1">
      <w:pPr>
        <w:pStyle w:val="BodyText"/>
      </w:pPr>
      <w:r>
        <w:lastRenderedPageBreak/>
        <w:tab/>
      </w:r>
      <w:r>
        <w:tab/>
        <w:t xml:space="preserve">Retainage will be determined for each job on multiple job Contracts. The Department will not accept Securities, Certificates of </w:t>
      </w:r>
      <w:proofErr w:type="gramStart"/>
      <w:r>
        <w:t>Deposit</w:t>
      </w:r>
      <w:proofErr w:type="gramEnd"/>
      <w:r>
        <w:t xml:space="preserve"> or letters of credit as a replacement for retainage.</w:t>
      </w: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lastRenderedPageBreak/>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lastRenderedPageBreak/>
        <w:tab/>
      </w:r>
      <w:r>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77C05AAA" w14:textId="77777777" w:rsidR="005A16B1" w:rsidRDefault="005A16B1" w:rsidP="005A16B1">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r>
        <w:t>Bookmark(</w:t>
      </w:r>
      <w:proofErr w:type="spellStart"/>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A0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84D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6A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A5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41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5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C3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761801">
    <w:abstractNumId w:val="10"/>
  </w:num>
  <w:num w:numId="2" w16cid:durableId="1852865817">
    <w:abstractNumId w:val="12"/>
  </w:num>
  <w:num w:numId="3" w16cid:durableId="1503935840">
    <w:abstractNumId w:val="15"/>
  </w:num>
  <w:num w:numId="4" w16cid:durableId="946474103">
    <w:abstractNumId w:val="11"/>
  </w:num>
  <w:num w:numId="5" w16cid:durableId="188490148">
    <w:abstractNumId w:val="13"/>
  </w:num>
  <w:num w:numId="6" w16cid:durableId="1399934482">
    <w:abstractNumId w:val="14"/>
  </w:num>
  <w:num w:numId="7" w16cid:durableId="910578329">
    <w:abstractNumId w:val="8"/>
  </w:num>
  <w:num w:numId="8" w16cid:durableId="161170083">
    <w:abstractNumId w:val="9"/>
  </w:num>
  <w:num w:numId="9" w16cid:durableId="519706162">
    <w:abstractNumId w:val="7"/>
  </w:num>
  <w:num w:numId="10" w16cid:durableId="524172726">
    <w:abstractNumId w:val="6"/>
  </w:num>
  <w:num w:numId="11" w16cid:durableId="665673651">
    <w:abstractNumId w:val="5"/>
  </w:num>
  <w:num w:numId="12" w16cid:durableId="320232457">
    <w:abstractNumId w:val="4"/>
  </w:num>
  <w:num w:numId="13" w16cid:durableId="223492670">
    <w:abstractNumId w:val="3"/>
  </w:num>
  <w:num w:numId="14" w16cid:durableId="949241352">
    <w:abstractNumId w:val="2"/>
  </w:num>
  <w:num w:numId="15" w16cid:durableId="960038389">
    <w:abstractNumId w:val="1"/>
  </w:num>
  <w:num w:numId="16" w16cid:durableId="192827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Formatting/>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8B"/>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4461"/>
    <w:rsid w:val="001650FC"/>
    <w:rsid w:val="00173559"/>
    <w:rsid w:val="00175590"/>
    <w:rsid w:val="00180BA6"/>
    <w:rsid w:val="0018181D"/>
    <w:rsid w:val="001826AD"/>
    <w:rsid w:val="001A1621"/>
    <w:rsid w:val="001A63AC"/>
    <w:rsid w:val="001E556E"/>
    <w:rsid w:val="001F0C0E"/>
    <w:rsid w:val="001F5719"/>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470A"/>
    <w:rsid w:val="00506D70"/>
    <w:rsid w:val="005314A4"/>
    <w:rsid w:val="00532343"/>
    <w:rsid w:val="005752E7"/>
    <w:rsid w:val="0058378D"/>
    <w:rsid w:val="00584129"/>
    <w:rsid w:val="005965CB"/>
    <w:rsid w:val="005A16B1"/>
    <w:rsid w:val="005D448A"/>
    <w:rsid w:val="0060048C"/>
    <w:rsid w:val="00611213"/>
    <w:rsid w:val="00634659"/>
    <w:rsid w:val="00646597"/>
    <w:rsid w:val="00651D65"/>
    <w:rsid w:val="00655C52"/>
    <w:rsid w:val="00670350"/>
    <w:rsid w:val="00672C1C"/>
    <w:rsid w:val="0069220A"/>
    <w:rsid w:val="006A57D2"/>
    <w:rsid w:val="006B052A"/>
    <w:rsid w:val="006C2F9F"/>
    <w:rsid w:val="006D73B3"/>
    <w:rsid w:val="006E09E9"/>
    <w:rsid w:val="00710053"/>
    <w:rsid w:val="00714190"/>
    <w:rsid w:val="007242C7"/>
    <w:rsid w:val="00725EE2"/>
    <w:rsid w:val="0073111E"/>
    <w:rsid w:val="00741882"/>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95122"/>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C4455"/>
    <w:rsid w:val="009C4888"/>
    <w:rsid w:val="009C51B6"/>
    <w:rsid w:val="00A303A0"/>
    <w:rsid w:val="00A31FD7"/>
    <w:rsid w:val="00A4128B"/>
    <w:rsid w:val="00A650E1"/>
    <w:rsid w:val="00A74F26"/>
    <w:rsid w:val="00AA2E4F"/>
    <w:rsid w:val="00AA2ECC"/>
    <w:rsid w:val="00AB0F14"/>
    <w:rsid w:val="00AF25F3"/>
    <w:rsid w:val="00B07D22"/>
    <w:rsid w:val="00B1074B"/>
    <w:rsid w:val="00B25D66"/>
    <w:rsid w:val="00B30B53"/>
    <w:rsid w:val="00B804F6"/>
    <w:rsid w:val="00B81D24"/>
    <w:rsid w:val="00B851F2"/>
    <w:rsid w:val="00B857A8"/>
    <w:rsid w:val="00BA0FEC"/>
    <w:rsid w:val="00BA3FB5"/>
    <w:rsid w:val="00BC321E"/>
    <w:rsid w:val="00BE3FD4"/>
    <w:rsid w:val="00BE4043"/>
    <w:rsid w:val="00BF07A1"/>
    <w:rsid w:val="00BF138C"/>
    <w:rsid w:val="00C16981"/>
    <w:rsid w:val="00C26D7D"/>
    <w:rsid w:val="00C42B68"/>
    <w:rsid w:val="00C61A6B"/>
    <w:rsid w:val="00C74EA0"/>
    <w:rsid w:val="00CA5DF6"/>
    <w:rsid w:val="00CB4655"/>
    <w:rsid w:val="00CD4D57"/>
    <w:rsid w:val="00CE4F01"/>
    <w:rsid w:val="00CF13B0"/>
    <w:rsid w:val="00D13E04"/>
    <w:rsid w:val="00D42DF5"/>
    <w:rsid w:val="00D53CB0"/>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A29C6"/>
    <w:rsid w:val="00EE58D5"/>
    <w:rsid w:val="00F00F50"/>
    <w:rsid w:val="00F33F80"/>
    <w:rsid w:val="00F82A78"/>
    <w:rsid w:val="00F848B9"/>
    <w:rsid w:val="00F87C45"/>
    <w:rsid w:val="00F97060"/>
    <w:rsid w:val="00FB2CDD"/>
    <w:rsid w:val="00FB3542"/>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0A"/>
    <w:pPr>
      <w:spacing w:after="160" w:line="259" w:lineRule="auto"/>
    </w:pPr>
    <w:rPr>
      <w:rFonts w:eastAsiaTheme="minorHAnsi" w:cstheme="minorBidi"/>
      <w:sz w:val="22"/>
      <w:szCs w:val="22"/>
    </w:rPr>
  </w:style>
  <w:style w:type="paragraph" w:styleId="Heading1">
    <w:name w:val="heading 1"/>
    <w:basedOn w:val="Heading2"/>
    <w:next w:val="Normal"/>
    <w:qFormat/>
    <w:rsid w:val="0050470A"/>
    <w:pPr>
      <w:outlineLvl w:val="0"/>
    </w:pPr>
    <w:rPr>
      <w:bCs w:val="0"/>
      <w:kern w:val="32"/>
      <w:sz w:val="96"/>
      <w:szCs w:val="32"/>
    </w:rPr>
  </w:style>
  <w:style w:type="paragraph" w:styleId="Heading2">
    <w:name w:val="heading 2"/>
    <w:basedOn w:val="Article"/>
    <w:next w:val="Dates"/>
    <w:link w:val="Heading2Char"/>
    <w:autoRedefine/>
    <w:qFormat/>
    <w:rsid w:val="0050470A"/>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50470A"/>
    <w:pPr>
      <w:spacing w:after="60"/>
      <w:outlineLvl w:val="7"/>
    </w:pPr>
    <w:rPr>
      <w:iCs/>
    </w:rPr>
  </w:style>
  <w:style w:type="paragraph" w:styleId="Heading9">
    <w:name w:val="heading 9"/>
    <w:basedOn w:val="Article"/>
    <w:next w:val="Normal"/>
    <w:qFormat/>
    <w:rsid w:val="0050470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0470A"/>
    <w:pPr>
      <w:keepNext/>
      <w:tabs>
        <w:tab w:val="left" w:pos="720"/>
      </w:tabs>
      <w:spacing w:before="240"/>
    </w:pPr>
    <w:rPr>
      <w:b/>
      <w:sz w:val="24"/>
    </w:rPr>
  </w:style>
  <w:style w:type="character" w:customStyle="1" w:styleId="ArticleChar">
    <w:name w:val="Article Char"/>
    <w:link w:val="Article"/>
    <w:rsid w:val="001F5719"/>
    <w:rPr>
      <w:b/>
      <w:sz w:val="24"/>
    </w:rPr>
  </w:style>
  <w:style w:type="paragraph" w:styleId="Header">
    <w:name w:val="header"/>
    <w:basedOn w:val="BodyText"/>
    <w:rsid w:val="0050470A"/>
    <w:pPr>
      <w:tabs>
        <w:tab w:val="center" w:pos="4320"/>
        <w:tab w:val="right" w:pos="8640"/>
      </w:tabs>
    </w:pPr>
  </w:style>
  <w:style w:type="paragraph" w:styleId="Footer">
    <w:name w:val="footer"/>
    <w:basedOn w:val="Normal"/>
    <w:rsid w:val="0050470A"/>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50470A"/>
    <w:pPr>
      <w:keepNext/>
      <w:spacing w:after="240"/>
      <w:ind w:firstLine="720"/>
    </w:pPr>
    <w:rPr>
      <w:sz w:val="24"/>
    </w:rPr>
  </w:style>
  <w:style w:type="paragraph" w:styleId="BodyText">
    <w:name w:val="Body Text"/>
    <w:link w:val="BodyTextChar"/>
    <w:rsid w:val="0050470A"/>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50470A"/>
    <w:pPr>
      <w:keepLines/>
      <w:numPr>
        <w:numId w:val="2"/>
      </w:numPr>
      <w:spacing w:before="0" w:after="0"/>
    </w:pPr>
    <w:rPr>
      <w:szCs w:val="24"/>
    </w:rPr>
  </w:style>
  <w:style w:type="paragraph" w:customStyle="1" w:styleId="Section1020">
    <w:name w:val="Section 102"/>
    <w:basedOn w:val="Heading9"/>
    <w:autoRedefine/>
    <w:rsid w:val="0050470A"/>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50470A"/>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50470A"/>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50470A"/>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0470A"/>
    <w:pPr>
      <w:spacing w:after="120"/>
      <w:ind w:left="1440" w:right="1440"/>
    </w:pPr>
  </w:style>
  <w:style w:type="paragraph" w:customStyle="1" w:styleId="PayItem">
    <w:name w:val="PayItem"/>
    <w:basedOn w:val="BodyText"/>
    <w:rsid w:val="0050470A"/>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50470A"/>
    <w:pPr>
      <w:ind w:left="1080" w:right="1080" w:hanging="720"/>
    </w:pPr>
  </w:style>
  <w:style w:type="paragraph" w:styleId="TOC3">
    <w:name w:val="toc 3"/>
    <w:basedOn w:val="Normal"/>
    <w:next w:val="Normal"/>
    <w:autoRedefine/>
    <w:rsid w:val="0050470A"/>
    <w:pPr>
      <w:ind w:left="360"/>
    </w:pPr>
  </w:style>
  <w:style w:type="paragraph" w:styleId="TOC4">
    <w:name w:val="toc 4"/>
    <w:basedOn w:val="Normal"/>
    <w:next w:val="Normal"/>
    <w:autoRedefine/>
    <w:rsid w:val="0050470A"/>
    <w:pPr>
      <w:ind w:left="720"/>
    </w:pPr>
  </w:style>
  <w:style w:type="paragraph" w:styleId="TOC5">
    <w:name w:val="toc 5"/>
    <w:basedOn w:val="Normal"/>
    <w:next w:val="Normal"/>
    <w:autoRedefine/>
    <w:rsid w:val="0050470A"/>
    <w:pPr>
      <w:ind w:left="960"/>
    </w:pPr>
  </w:style>
  <w:style w:type="paragraph" w:styleId="TOC6">
    <w:name w:val="toc 6"/>
    <w:basedOn w:val="Normal"/>
    <w:next w:val="Normal"/>
    <w:autoRedefine/>
    <w:rsid w:val="0050470A"/>
    <w:pPr>
      <w:ind w:left="1200"/>
    </w:pPr>
  </w:style>
  <w:style w:type="paragraph" w:styleId="TOC7">
    <w:name w:val="toc 7"/>
    <w:basedOn w:val="Normal"/>
    <w:next w:val="Normal"/>
    <w:autoRedefine/>
    <w:rsid w:val="0050470A"/>
    <w:pPr>
      <w:ind w:left="1440"/>
    </w:pPr>
  </w:style>
  <w:style w:type="paragraph" w:styleId="TOC8">
    <w:name w:val="toc 8"/>
    <w:basedOn w:val="Normal"/>
    <w:next w:val="Normal"/>
    <w:autoRedefine/>
    <w:rsid w:val="0050470A"/>
    <w:pPr>
      <w:ind w:left="1680"/>
    </w:pPr>
  </w:style>
  <w:style w:type="paragraph" w:styleId="TOC9">
    <w:name w:val="toc 9"/>
    <w:basedOn w:val="Normal"/>
    <w:next w:val="Normal"/>
    <w:autoRedefine/>
    <w:rsid w:val="0050470A"/>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50470A"/>
    <w:rPr>
      <w:rFonts w:cs="Arial"/>
      <w:b/>
      <w:bCs/>
      <w:iCs/>
      <w:caps/>
      <w:sz w:val="24"/>
      <w:szCs w:val="28"/>
    </w:rPr>
  </w:style>
  <w:style w:type="paragraph" w:styleId="Revision">
    <w:name w:val="Revision"/>
    <w:hidden/>
    <w:rsid w:val="00741882"/>
    <w:rPr>
      <w:rFonts w:eastAsia="Calibri"/>
      <w:sz w:val="22"/>
      <w:szCs w:val="22"/>
    </w:rPr>
  </w:style>
  <w:style w:type="paragraph" w:customStyle="1" w:styleId="BodyTextFirst">
    <w:name w:val="Body Text + First"/>
    <w:basedOn w:val="BodyText"/>
    <w:qFormat/>
    <w:rsid w:val="0050470A"/>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fdotwww.blob.core.windows.net/sitefinity/docs/default-source/programmanagement/implemented/urlinspecs/files/endangeredwildlifeguidelines.pdf?sfvrsn=e27baf3f_2"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fhwa_1273_revised-10-23-23.pdf?sfvrsn=d7604d20_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ot.gov/programmanagement/ProductEvaluation/Default.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0</TotalTime>
  <Pages>35</Pages>
  <Words>17299</Words>
  <Characters>98608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115676</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Hunsicker, Darla</cp:lastModifiedBy>
  <cp:revision>2</cp:revision>
  <dcterms:created xsi:type="dcterms:W3CDTF">2023-11-16T19:10:00Z</dcterms:created>
  <dcterms:modified xsi:type="dcterms:W3CDTF">2023-11-16T19:10:00Z</dcterms:modified>
</cp:coreProperties>
</file>