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B63F9">
      <w:pPr>
        <w:pStyle w:val="Heading2"/>
        <w:spacing/>
        <w:rPr/>
      </w:pPr>
      <w:r>
        <w:rPr/>
        <w:t xml:space="preserve">LEGAL REQUIREMENTS AND RESPONSIBILITY TO THE PUBLIC – LAWS TO BE OBSERVED - COMPLIANCE WITH FEDERAL ENDANGERED SPECIES ACT AND OTHER WILDLIFE REGULATIONS (MANATEE).</w:t>
      </w:r>
    </w:p>
    <w:p w14:paraId="3D871DB3">
      <w:pPr>
        <w:pStyle w:val="Dates"/>
        <w:spacing/>
        <w:rPr/>
      </w:pPr>
      <w:r>
        <w:rPr/>
        <w:t xml:space="preserve">(REV 5-13-20) (FA 6-29-20) (FY 2025-26)</w:t>
      </w:r>
    </w:p>
    <w:p w14:paraId="038B387E">
      <w:pPr>
        <w:pStyle w:val="LeadInSentence"/>
        <w:spacing/>
        <w:rPr/>
      </w:pPr>
      <w:r>
        <w:rPr/>
        <w:t xml:space="preserve">SUBARTICLE 7-1.4 is expanded by the following:</w:t>
      </w:r>
    </w:p>
    <w:p w14:paraId="0F02F2CC">
      <w:pPr>
        <w:pStyle w:val="BodyText"/>
        <w:spacing/>
        <w:rPr/>
      </w:pPr>
      <w:r>
        <w:rPr/>
        <w:tab/>
        <w:t xml:space="preserve"/>
      </w:r>
      <w:r>
        <w:rPr/>
        <w:tab/>
        <w:t xml:space="preserve"/>
      </w:r>
      <w:r>
        <w:rPr/>
        <w:t xml:space="preserve">The Department has determined that the project occurs within the known habitat of manatees </w:t>
      </w:r>
      <w:r>
        <w:rPr>
          <w:bCs/>
          <w:i/>
        </w:rPr>
        <w:t xml:space="preserve">(Trichechus manatus</w:t>
      </w:r>
      <w:r>
        <w:rPr>
          <w:bCs/>
        </w:rPr>
        <w:t xml:space="preserve">)</w:t>
      </w:r>
      <w:r>
        <w:rPr/>
        <w:t xml:space="preserve">. </w:t>
      </w:r>
    </w:p>
    <w:p w14:paraId="7F293859">
      <w:pPr>
        <w:pStyle w:val="BodyText"/>
        <w:spacing/>
        <w:rPr/>
      </w:pPr>
      <w:r>
        <w:rPr/>
        <w:tab/>
        <w:t xml:space="preserve"/>
      </w:r>
      <w:r>
        <w:rPr/>
        <w:tab/>
        <w:t xml:space="preserve"/>
      </w:r>
      <w:r>
        <w:rPr/>
        <w:tab/>
        <w:t xml:space="preserve"/>
      </w:r>
      <w:r>
        <w:rPr/>
        <w:t xml:space="preserve">The Department will provide instruction at a preconstruction meeting regarding:</w:t>
      </w:r>
    </w:p>
    <w:p w14:paraId="6B63B008">
      <w:pPr>
        <w:pStyle w:val="BodyText"/>
        <w:spacing/>
        <w:rPr/>
      </w:pPr>
      <w:r>
        <w:rPr/>
        <w:tab/>
        <w:t xml:space="preserve"/>
      </w:r>
      <w:r>
        <w:rPr/>
        <w:tab/>
        <w:t xml:space="preserve"/>
      </w:r>
      <w:r>
        <w:rPr/>
        <w:tab/>
        <w:t xml:space="preserve"/>
      </w:r>
      <w:r>
        <w:rPr/>
        <w:tab/>
        <w:t xml:space="preserve"/>
      </w:r>
      <w:r>
        <w:rPr/>
        <w:t xml:space="preserve">1. The presence of the species and manatee speed zones.</w:t>
      </w:r>
    </w:p>
    <w:p w14:paraId="6A650CED">
      <w:pPr>
        <w:pStyle w:val="BodyText"/>
        <w:spacing/>
        <w:rPr/>
      </w:pPr>
      <w:r>
        <w:rPr/>
        <w:tab/>
        <w:t xml:space="preserve"/>
      </w:r>
      <w:r>
        <w:rPr/>
        <w:tab/>
        <w:t xml:space="preserve"/>
      </w:r>
      <w:r>
        <w:rPr/>
        <w:tab/>
        <w:t xml:space="preserve"/>
      </w:r>
      <w:r>
        <w:rPr/>
        <w:tab/>
        <w:t xml:space="preserve"/>
      </w:r>
      <w:r>
        <w:rPr/>
        <w:t xml:space="preserve">2. The appearance, habits and biology of the species. </w:t>
      </w:r>
    </w:p>
    <w:p w14:paraId="41ADE133">
      <w:pPr>
        <w:pStyle w:val="BodyText"/>
        <w:spacing/>
        <w:rPr/>
      </w:pPr>
      <w:r>
        <w:rPr/>
        <w:tab/>
        <w:t xml:space="preserve"/>
      </w:r>
      <w:r>
        <w:rPr/>
        <w:tab/>
        <w:t xml:space="preserve"/>
      </w:r>
      <w:r>
        <w:rPr/>
        <w:tab/>
        <w:t xml:space="preserve"/>
      </w:r>
      <w:r>
        <w:rPr/>
        <w:tab/>
        <w:t xml:space="preserve"/>
      </w:r>
      <w:r>
        <w:rPr/>
        <w:t xml:space="preserve">3. Their protected status. </w:t>
      </w:r>
    </w:p>
    <w:p w14:paraId="46A53A18">
      <w:pPr>
        <w:pStyle w:val="BodyText"/>
        <w:spacing/>
        <w:rPr/>
      </w:pPr>
      <w:r>
        <w:rPr/>
        <w:tab/>
        <w:t xml:space="preserve"/>
      </w:r>
      <w:r>
        <w:rPr/>
        <w:tab/>
        <w:t xml:space="preserve"/>
      </w:r>
      <w:r>
        <w:rPr/>
        <w:tab/>
        <w:t xml:space="preserve"/>
      </w:r>
      <w:r>
        <w:rPr/>
        <w:tab/>
        <w:t xml:space="preserve"/>
      </w:r>
      <w:r>
        <w:rPr/>
        <w:t xml:space="preserve">4. The need to avoid collisions with and injury to the species. </w:t>
      </w:r>
    </w:p>
    <w:p w14:paraId="4BB27905">
      <w:pPr>
        <w:pStyle w:val="BodyText"/>
        <w:spacing/>
        <w:rPr/>
      </w:pPr>
      <w:r>
        <w:rPr/>
        <w:tab/>
        <w:t xml:space="preserve"/>
      </w:r>
      <w:r>
        <w:rPr/>
        <w:tab/>
        <w:t xml:space="preserve"/>
      </w:r>
      <w:r>
        <w:rPr/>
        <w:tab/>
        <w:t xml:space="preserve"/>
      </w:r>
      <w:r>
        <w:rPr/>
        <w:tab/>
        <w:t xml:space="preserve"/>
      </w:r>
      <w:r>
        <w:rPr/>
        <w:t xml:space="preserve">5. The civil and criminal penalties for harming, harassing, or killing these species.</w:t>
      </w:r>
    </w:p>
    <w:p w14:paraId="18D9878A">
      <w:pPr>
        <w:pStyle w:val="BodyText"/>
        <w:spacing/>
        <w:rPr/>
      </w:pPr>
      <w:r>
        <w:rPr/>
        <w:tab/>
        <w:t xml:space="preserve"/>
      </w:r>
      <w:r>
        <w:rPr/>
        <w:tab/>
        <w:t xml:space="preserve"/>
      </w:r>
      <w:r>
        <w:rPr/>
        <w:tab/>
        <w:t xml:space="preserve"/>
      </w:r>
      <w:r>
        <w:rPr/>
        <w:t xml:space="preserve">Advise all work crews of this information. </w:t>
      </w:r>
    </w:p>
    <w:p w14:paraId="6C3180FD">
      <w:pPr>
        <w:pStyle w:val="BodyText"/>
        <w:spacing/>
        <w:rPr>
          <w:rFonts w:eastAsia="Calibri"/>
        </w:rPr>
      </w:pPr>
      <w:r>
        <w:rPr/>
        <w:tab/>
        <w:t xml:space="preserve"/>
      </w:r>
      <w:r>
        <w:rPr/>
        <w:tab/>
        <w:t xml:space="preserve"/>
      </w:r>
      <w:r>
        <w:rPr/>
        <w:tab/>
        <w:t xml:space="preserve"/>
      </w:r>
      <w:r>
        <w:rPr>
          <w:rFonts w:eastAsia="Calibri"/>
        </w:rPr>
        <w:t xml:space="preserve">Operate all vessels at “Idle Speed/No Wake” at all times while in the construction area and while in water where the draft of the vessel provides less than a four-foot clearance from the bottom. Follow routes of deep water whenever possible.</w:t>
      </w:r>
    </w:p>
    <w:p w14:paraId="422E4B2B">
      <w:pPr>
        <w:pStyle w:val="BodyText"/>
        <w:spacing/>
        <w:rPr>
          <w:rFonts w:eastAsia="Calibri"/>
        </w:rPr>
      </w:pPr>
      <w:r>
        <w:rPr>
          <w:rFonts w:eastAsia="Calibri"/>
        </w:rPr>
        <w:tab/>
        <w:t xml:space="preserve"/>
      </w:r>
      <w:r>
        <w:rPr>
          <w:rFonts w:eastAsia="Calibri"/>
        </w:rPr>
        <w:tab/>
        <w:t xml:space="preserve"/>
      </w:r>
      <w:r>
        <w:rPr>
          <w:rFonts w:eastAsia="Calibri"/>
        </w:rPr>
        <w:tab/>
        <w:t xml:space="preserve"/>
      </w:r>
      <w:r>
        <w:rPr>
          <w:rFonts w:eastAsia="Calibri"/>
        </w:rPr>
        <w:t xml:space="preserve">Do not dredge river bottom for barge access.</w:t>
      </w:r>
    </w:p>
    <w:p w14:paraId="050681C6">
      <w:pPr>
        <w:pStyle w:val="BodyText"/>
        <w:spacing/>
        <w:rPr/>
      </w:pPr>
      <w:r>
        <w:rPr>
          <w:rFonts w:eastAsia="Calibri"/>
        </w:rPr>
        <w:tab/>
        <w:t xml:space="preserve"/>
      </w:r>
      <w:r>
        <w:rPr>
          <w:rFonts w:eastAsia="Calibri"/>
        </w:rPr>
        <w:tab/>
        <w:t xml:space="preserve"/>
      </w:r>
      <w:r>
        <w:rPr>
          <w:rFonts w:eastAsia="Calibri"/>
        </w:rPr>
        <w:tab/>
        <w:t xml:space="preserve"/>
      </w:r>
      <w:r>
        <w:rPr/>
        <w:t xml:space="preserve">Lower all equipment or material to the mudline in a controlled descent. Do not allow freefall of any equipment or material below the water surface.</w:t>
      </w:r>
    </w:p>
    <w:p w14:paraId="65AD318A">
      <w:pPr>
        <w:tabs>
          <w:tab w:val="left" w:pos="720"/>
        </w:tabs>
        <w:spacing/>
        <w:rPr>
          <w:szCs w:val="20"/>
        </w:rPr>
      </w:pPr>
      <w:r>
        <w:rPr/>
        <w:tab/>
        <w:t xml:space="preserve"/>
      </w:r>
      <w:r>
        <w:rPr/>
        <w:tab/>
        <w:t xml:space="preserve"/>
      </w:r>
      <w:r>
        <w:rPr/>
        <w:tab/>
        <w:t xml:space="preserve"/>
      </w:r>
      <w:r>
        <w:rPr>
          <w:rFonts w:eastAsia="Times New Roman"/>
          <w:szCs w:val="20"/>
        </w:rPr>
        <w:t xml:space="preserve">Use fenders or buoys to prevent entrapping manatees between vessels and other structures</w:t>
      </w:r>
      <w:r>
        <w:rPr>
          <w:rFonts w:eastAsia="Times New Roman"/>
          <w:szCs w:val="20"/>
        </w:rPr>
        <w:t xml:space="preserve">.</w:t>
      </w:r>
    </w:p>
    <w:p w14:paraId="40526635">
      <w:pPr>
        <w:tabs>
          <w:tab w:val="left" w:pos="720"/>
        </w:tabs>
        <w:spacing/>
        <w:rPr/>
      </w:pPr>
      <w:r>
        <w:rPr/>
        <w:tab/>
        <w:t xml:space="preserve"/>
      </w:r>
      <w:r>
        <w:rPr/>
        <w:tab/>
        <w:t xml:space="preserve"/>
      </w:r>
      <w:r>
        <w:rPr/>
        <w:tab/>
        <w:t xml:space="preserve"/>
      </w:r>
      <w:r>
        <w:rPr>
          <w:rFonts w:eastAsia="Times New Roman"/>
          <w:szCs w:val="20"/>
        </w:rPr>
        <w:t xml:space="preserve">Maintain taut mooring lines. If slack remains in the line, sleeve the line with PVC.</w:t>
      </w:r>
    </w:p>
    <w:p w14:paraId="3427C863">
      <w:pPr>
        <w:pStyle w:val="BodyText"/>
        <w:spacing/>
        <w:rPr>
          <w:rFonts w:eastAsia="Calibri"/>
        </w:rPr>
      </w:pPr>
      <w:r>
        <w:rPr>
          <w:rFonts w:eastAsia="Calibri"/>
        </w:rPr>
        <w:tab/>
        <w:t xml:space="preserve"/>
      </w:r>
      <w:r>
        <w:rPr>
          <w:rFonts w:eastAsia="Calibri"/>
        </w:rPr>
        <w:tab/>
        <w:t xml:space="preserve"/>
      </w:r>
      <w:r>
        <w:rPr>
          <w:rFonts w:eastAsia="Calibri"/>
        </w:rPr>
        <w:tab/>
        <w:t xml:space="preserve"/>
      </w:r>
      <w:r>
        <w:rPr/>
        <w:t xml:space="preserve">Advise all on-site project personnel they are responsible for observing water-related activities for the presence of manatees. Follow the requirements posted in the URL address in Spec 7-1.4 w</w:t>
      </w:r>
      <w:r>
        <w:rPr>
          <w:rFonts w:eastAsia="Calibri"/>
        </w:rPr>
        <w:t xml:space="preserve">hen manatees are observed.</w:t>
      </w:r>
    </w:p>
    <w:p w14:paraId="753F3C3A">
      <w:pPr>
        <w:pStyle w:val="BodyText"/>
        <w:spacing/>
        <w:rPr/>
      </w:pPr>
      <w:r>
        <w:rPr/>
        <w:tab/>
        <w:t xml:space="preserve"/>
      </w:r>
      <w:r>
        <w:rPr/>
        <w:tab/>
        <w:t xml:space="preserve"/>
      </w:r>
      <w:r>
        <w:rPr/>
        <w:tab/>
        <w:t xml:space="preserve"/>
      </w:r>
      <w:r>
        <w:rPr/>
        <w:t xml:space="preserve">Except for projects in Bay, Escambia, Franklin, Gilchrist, Gulf, Jefferson, Lafayette, Okaloosa, Santa Rosa, Suwannee and Walton:</w:t>
      </w:r>
    </w:p>
    <w:p w14:paraId="15F67B1A">
      <w:pPr>
        <w:pStyle w:val="BodyText"/>
        <w:spacing/>
        <w:rPr/>
      </w:pPr>
      <w:r>
        <w:rPr/>
        <w:tab/>
        <w:t xml:space="preserve"/>
      </w:r>
      <w:r>
        <w:rPr/>
        <w:tab/>
        <w:t xml:space="preserve"/>
      </w:r>
      <w:r>
        <w:rPr/>
        <w:tab/>
        <w:t xml:space="preserve"/>
      </w:r>
      <w:r>
        <w:rPr/>
        <w:tab/>
        <w:t xml:space="preserve"/>
      </w:r>
      <w:r>
        <w:rPr/>
        <w:t xml:space="preserve">1. Sediment or turbidity barriers shall be made of material which manatees cannot become entangled, shall be secured, and shall be monitored to avoid manatee entanglement or entrapment. Barriers must not impede manatee movement. </w:t>
      </w:r>
    </w:p>
    <w:p w14:paraId="2BDD5C01">
      <w:pPr>
        <w:pStyle w:val="BodyText"/>
        <w:spacing/>
        <w:rPr/>
      </w:pPr>
      <w:r>
        <w:rPr/>
        <w:tab/>
        <w:t xml:space="preserve"/>
      </w:r>
      <w:r>
        <w:rPr/>
        <w:tab/>
        <w:t xml:space="preserve"/>
      </w:r>
      <w:r>
        <w:rPr/>
        <w:tab/>
        <w:t xml:space="preserve"/>
      </w:r>
      <w:r>
        <w:rPr/>
        <w:tab/>
        <w:t xml:space="preserve"/>
      </w:r>
      <w:r>
        <w:rPr/>
        <w:t xml:space="preserve">2. Temporary signs concerning manatees shall be posted prior to and during all in-water project activities. All signs are to be removed by the Contractor upon completion of the project. Temporary signs that have already been approved for this use by the FWC must be used. One sign which reads “Caution: Boaters”, must be posted in a location conspicuous to boating traffic. A second sign measuring at least 8-1/2 inches by 11 inches, explaining the requirements for “Idle Speed/No Wake” and the shutdown of in-water operations, must be posted in at least one location prominently visible to all onsite project personnel engaged in water-related activities. These signs can be viewed at: </w:t>
      </w:r>
    </w:p>
    <w:p w14:paraId="661F57BF">
      <w:pPr>
        <w:pStyle w:val="BodyText"/>
        <w:spacing/>
        <w:rPr>
          <w:rFonts w:eastAsia="Calibri"/>
        </w:rPr>
      </w:pPr>
      <w:r>
        <w:rPr/>
        <w:fldChar w:fldCharType="begin"/>
      </w:r>
      <w:r>
        <w:rPr/>
        <w:instrText xml:space="preserve">HYPERLINK "https://na01.safelinks.protection.outlook.com/?url=https%3A%2F%2Fmyfwc.com%2Fwildlifehabitats%2Fwildlife%2Fmanatee%2Feducation-for-marinas%2F&amp;data=02%7C01%7CDeborah.Toole%40dot.state.fl.us%7C7b3ddad415aa4ba83b8608d680ab672c%7Cdb21de5dbc9c420c8f3f8f08f85b5ada%7C0%7C1%7C636837870987127444&amp;sdata=8Qrppzf4o0hcIqBAGQaH%2FpwzDdSxupMD3eneR55oB00%3D&amp;reserved=0" </w:instrText>
      </w:r>
      <w:r>
        <w:rPr/>
        <w:fldChar w:fldCharType="separate"/>
      </w:r>
      <w:r>
        <w:rPr>
          <w:rFonts w:eastAsia="Calibri"/>
          <w:color w:val="0563C1"/>
          <w:u w:val="single"/>
        </w:rPr>
        <w:t xml:space="preserve">https://myfwc.com/wildlifehabitats/wildlife/manatee/education-for-marinas/</w:t>
      </w:r>
      <w:r>
        <w:rPr/>
        <w:fldChar w:fldCharType="end"/>
      </w:r>
    </w:p>
    <w:p w14:paraId="5B761BDE">
      <w:pPr>
        <w:pStyle w:val="BodyText"/>
        <w:spacing/>
        <w:rPr/>
      </w:pPr>
    </w:p>
    <w:p w14:paraId="5D17F98D">
      <w:pPr>
        <w:pStyle w:val="BodyText"/>
        <w:spacing/>
        <w:rPr/>
      </w:pPr>
    </w:p>
    <w:sectPr>
      <w:type w:val="nextPage"/>
      <w:pgSz w:w="12240" w:h="15840"/>
      <w:pgMar w:top="1440" w:right="1440" w:bottom="1008"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Segoe UI">
    <w:charset w:val="0"/>
    <w:family w:val="swiss"/>
    <w:pitch w:val="variable"/>
    <w:sig w:usb0="E4002EFF" w:usb1="C000E47F" w:usb2="00000009" w:usb3="00000000" w:csb0="000001FF" w:csb1="00000000"/>
  </w:font>
  <w:font w:name="Calibri Light">
    <w:charset w:val="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715C"/>
    <w:lvl w:ilvl="0">
      <w:start w:val="1"/>
      <w:numFmt w:val="decimal"/>
      <w:suff w:val="tab"/>
      <w:lvlText w:val="%1."/>
      <w:pPr>
        <w:spacing/>
        <w:ind w:left="3240" w:hanging="360"/>
      </w:pPr>
      <w:rPr>
        <w:rFonts w:hint="default"/>
      </w:rPr>
    </w:lvl>
    <w:lvl w:ilvl="1">
      <w:start w:val="1"/>
      <w:numFmt w:val="lowerLetter"/>
      <w:suff w:val="tab"/>
      <w:lvlText w:val="%2."/>
      <w:pPr>
        <w:spacing/>
        <w:ind w:left="3960" w:hanging="360"/>
      </w:pPr>
      <w:rPr/>
    </w:lvl>
    <w:lvl w:ilvl="2">
      <w:start w:val="1"/>
      <w:numFmt w:val="lowerRoman"/>
      <w:suff w:val="tab"/>
      <w:lvlText w:val="%3."/>
      <w:lvlJc w:val="right"/>
      <w:pPr>
        <w:spacing/>
        <w:ind w:left="4680" w:hanging="180"/>
      </w:pPr>
      <w:rPr/>
    </w:lvl>
    <w:lvl w:ilvl="3">
      <w:start w:val="1"/>
      <w:numFmt w:val="decimal"/>
      <w:suff w:val="tab"/>
      <w:lvlText w:val="%4."/>
      <w:pPr>
        <w:spacing/>
        <w:ind w:left="5400" w:hanging="360"/>
      </w:pPr>
      <w:rPr/>
    </w:lvl>
    <w:lvl w:ilvl="4">
      <w:start w:val="1"/>
      <w:numFmt w:val="lowerLetter"/>
      <w:suff w:val="tab"/>
      <w:lvlText w:val="%5."/>
      <w:pPr>
        <w:spacing/>
        <w:ind w:left="6120" w:hanging="360"/>
      </w:pPr>
      <w:rPr/>
    </w:lvl>
    <w:lvl w:ilvl="5">
      <w:start w:val="1"/>
      <w:numFmt w:val="lowerRoman"/>
      <w:suff w:val="tab"/>
      <w:lvlText w:val="%6."/>
      <w:lvlJc w:val="right"/>
      <w:pPr>
        <w:spacing/>
        <w:ind w:left="6840" w:hanging="180"/>
      </w:pPr>
      <w:rPr/>
    </w:lvl>
    <w:lvl w:ilvl="6">
      <w:start w:val="1"/>
      <w:numFmt w:val="decimal"/>
      <w:suff w:val="tab"/>
      <w:lvlText w:val="%7."/>
      <w:pPr>
        <w:spacing/>
        <w:ind w:left="7560" w:hanging="360"/>
      </w:pPr>
      <w:rPr/>
    </w:lvl>
    <w:lvl w:ilvl="7">
      <w:start w:val="1"/>
      <w:numFmt w:val="lowerLetter"/>
      <w:suff w:val="tab"/>
      <w:lvlText w:val="%8."/>
      <w:pPr>
        <w:spacing/>
        <w:ind w:left="8280" w:hanging="360"/>
      </w:pPr>
      <w:rPr/>
    </w:lvl>
    <w:lvl w:ilvl="8">
      <w:start w:val="1"/>
      <w:numFmt w:val="lowerRoman"/>
      <w:suff w:val="tab"/>
      <w:lvlText w:val="%9."/>
      <w:lvlJc w:val="right"/>
      <w:pPr>
        <w:spacing/>
        <w:ind w:left="9000" w:hanging="180"/>
      </w:pPr>
      <w:rPr/>
    </w:lvl>
  </w:abstractNum>
  <w:abstractNum w:abstractNumId="1">
    <w:nsid w:val="09FD6CDA"/>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2">
    <w:nsid w:val="17926CA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3">
    <w:nsid w:val="262C2C45"/>
    <w:lvl w:ilvl="0">
      <w:start w:val="1"/>
      <w:numFmt w:val="decimal"/>
      <w:suff w:val="tab"/>
      <w:lvlText w:val="%1."/>
      <w:pPr>
        <w:spacing/>
        <w:ind w:left="720" w:hanging="360"/>
      </w:pPr>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4">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5">
    <w:nsid w:val="2DFD6CD6"/>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2E553978"/>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386B21B9"/>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8">
    <w:nsid w:val="3B0E581C"/>
    <w:lvl w:ilvl="0">
      <w:start w:val="1"/>
      <w:numFmt w:val="decimal"/>
      <w:pStyle w:val="Section8"/>
      <w:suff w:val="tab"/>
      <w:lvlText w:val="8-13.%1"/>
      <w:pPr>
        <w:tabs>
          <w:tab w:val="num" w:pos="1440"/>
        </w:tabs>
        <w:spacing/>
        <w:ind w:left="0" w:firstLine="72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9">
    <w:nsid w:val="3BEE515F"/>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0">
    <w:nsid w:val="4C2740B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1">
    <w:nsid w:val="54B2796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2">
    <w:nsid w:val="54EB7A13"/>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3">
    <w:nsid w:val="64A14028"/>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4">
    <w:nsid w:val="684D2E1E"/>
    <w:lvl w:ilvl="0">
      <w:start w:val="6"/>
      <w:numFmt w:val="decimal"/>
      <w:pStyle w:val="Section102"/>
      <w:suff w:val="tab"/>
      <w:lvlText w:val="102-8.%1"/>
      <w:lvlJc w:val="right"/>
      <w:pPr>
        <w:tabs>
          <w:tab w:val="num" w:pos="180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5">
    <w:nsid w:val="6AF34D69"/>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6">
    <w:nsid w:val="76A01940"/>
    <w:lvl w:ilvl="0">
      <w:start w:val="1"/>
      <w:numFmt w:val="decimal"/>
      <w:suff w:val="tab"/>
      <w:lvlText w:val="%1."/>
      <w:pPr>
        <w:spacing/>
        <w:ind w:left="3240" w:hanging="360"/>
      </w:pPr>
      <w:rPr>
        <w:rFonts w:hint="default"/>
      </w:rPr>
    </w:lvl>
    <w:lvl w:ilvl="1">
      <w:start w:val="1"/>
      <w:numFmt w:val="lowerLetter"/>
      <w:suff w:val="tab"/>
      <w:lvlText w:val="%2."/>
      <w:pPr>
        <w:spacing/>
        <w:ind w:left="3960" w:hanging="360"/>
      </w:pPr>
      <w:rPr/>
    </w:lvl>
    <w:lvl w:ilvl="2">
      <w:start w:val="1"/>
      <w:numFmt w:val="lowerRoman"/>
      <w:suff w:val="tab"/>
      <w:lvlText w:val="%3."/>
      <w:lvlJc w:val="right"/>
      <w:pPr>
        <w:spacing/>
        <w:ind w:left="4680" w:hanging="180"/>
      </w:pPr>
      <w:rPr/>
    </w:lvl>
    <w:lvl w:ilvl="3">
      <w:start w:val="1"/>
      <w:numFmt w:val="decimal"/>
      <w:suff w:val="tab"/>
      <w:lvlText w:val="%4."/>
      <w:pPr>
        <w:spacing/>
        <w:ind w:left="5400" w:hanging="360"/>
      </w:pPr>
      <w:rPr/>
    </w:lvl>
    <w:lvl w:ilvl="4">
      <w:start w:val="1"/>
      <w:numFmt w:val="lowerLetter"/>
      <w:suff w:val="tab"/>
      <w:lvlText w:val="%5."/>
      <w:pPr>
        <w:spacing/>
        <w:ind w:left="6120" w:hanging="360"/>
      </w:pPr>
      <w:rPr/>
    </w:lvl>
    <w:lvl w:ilvl="5">
      <w:start w:val="1"/>
      <w:numFmt w:val="lowerRoman"/>
      <w:suff w:val="tab"/>
      <w:lvlText w:val="%6."/>
      <w:lvlJc w:val="right"/>
      <w:pPr>
        <w:spacing/>
        <w:ind w:left="6840" w:hanging="180"/>
      </w:pPr>
      <w:rPr/>
    </w:lvl>
    <w:lvl w:ilvl="6">
      <w:start w:val="1"/>
      <w:numFmt w:val="decimal"/>
      <w:suff w:val="tab"/>
      <w:lvlText w:val="%7."/>
      <w:pPr>
        <w:spacing/>
        <w:ind w:left="7560" w:hanging="360"/>
      </w:pPr>
      <w:rPr/>
    </w:lvl>
    <w:lvl w:ilvl="7">
      <w:start w:val="1"/>
      <w:numFmt w:val="lowerLetter"/>
      <w:suff w:val="tab"/>
      <w:lvlText w:val="%8."/>
      <w:pPr>
        <w:spacing/>
        <w:ind w:left="8280" w:hanging="360"/>
      </w:pPr>
      <w:rPr/>
    </w:lvl>
    <w:lvl w:ilvl="8">
      <w:start w:val="1"/>
      <w:numFmt w:val="lowerRoman"/>
      <w:suff w:val="tab"/>
      <w:lvlText w:val="%9."/>
      <w:lvlJc w:val="right"/>
      <w:pPr>
        <w:spacing/>
        <w:ind w:left="900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linkStyles/>
  <w:doNotTrackMoves xmlns:w="http://schemas.openxmlformats.org/wordprocessingml/2006/main"/>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en-US"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rFonts w:ascii="Times New Roman" w:hAnsi="Times New Roman" w:eastAsiaTheme="minorHAnsi"/>
      <w:sz w:val="24"/>
      <w:szCs w:val="24"/>
    </w:rPr>
  </w:style>
  <w:style w:type="paragraph" w:styleId="Heading1">
    <w:name w:val="Heading 1"/>
    <w:basedOn w:val="Heading2"/>
    <w:next w:val="Normal"/>
    <w:link w:val="Heading1Char"/>
    <w:uiPriority w:val="9"/>
    <w:qFormat/>
    <w:pPr>
      <w:spacing/>
      <w:outlineLvl w:val="0"/>
    </w:pPr>
    <w:rPr>
      <w:bCs w:val="0"/>
      <w:kern w:val="32"/>
      <w:sz w:val="96"/>
      <w:szCs w:val="32"/>
    </w:rPr>
  </w:style>
  <w:style w:type="paragraph" w:styleId="Heading2">
    <w:name w:val="Heading 2"/>
    <w:basedOn w:val="Normal"/>
    <w:next w:val="Dates"/>
    <w:link w:val="Heading2Char"/>
    <w:qFormat/>
    <w:pPr>
      <w:keepNext/>
      <w:tabs>
        <w:tab w:val="left" w:pos="720"/>
      </w:tabs>
      <w:spacing w:before="240" w:after="60"/>
      <w:outlineLvl w:val="1"/>
    </w:pPr>
    <w:rPr>
      <w:rFonts w:eastAsia="Times New Roman" w:cs="Arial"/>
      <w:b/>
      <w:bCs/>
      <w:iCs/>
      <w:caps/>
      <w:szCs w:val="28"/>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eastAsia="Arial" w:cs="Arial"/>
      <w:szCs w:val="22"/>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character" w:styleId="NoList1" w:customStyle="1">
    <w:name w:val="No List1"/>
    <w:basedOn w:val="DefaultParagraphFont"/>
    <w:semiHidden/>
    <w:unhideWhenUsed/>
    <w:rPr/>
  </w:style>
  <w:style w:type="table" w:styleId="TableGrid">
    <w:name w:val="Table Grid"/>
    <w:basedOn w:val="TableNormal"/>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List1_0" w:customStyle="1">
    <w:name w:val="No List1_0"/>
    <w:basedOn w:val="DefaultParagraphFont"/>
    <w:semiHidden/>
    <w:unhideWhenUsed/>
    <w:rPr/>
  </w:style>
  <w:style w:type="paragraph" w:styleId="BodyText">
    <w:name w:val="Body Text"/>
    <w:link w:val="BodyTextChar"/>
    <w:pPr>
      <w:tabs>
        <w:tab w:val="left" w:pos="720"/>
      </w:tabs>
      <w:spacing/>
    </w:pPr>
    <w:rPr>
      <w:rFonts w:ascii="Times New Roman" w:hAnsi="Times New Roman" w:eastAsiaTheme="minorHAnsi"/>
      <w:sz w:val="24"/>
      <w:szCs w:val="24"/>
    </w:rPr>
  </w:style>
  <w:style w:type="character" w:styleId="BodyTextChar" w:customStyle="1">
    <w:name w:val="Body Text Char"/>
    <w:basedOn w:val="DefaultParagraphFont"/>
    <w:link w:val="BodyText"/>
    <w:rPr>
      <w:rFonts w:ascii="Times New Roman" w:hAnsi="Times New Roman" w:eastAsiaTheme="minorHAnsi"/>
      <w:sz w:val="24"/>
      <w:szCs w:val="24"/>
    </w:rPr>
  </w:style>
  <w:style w:type="character" w:styleId="CommentReference1" w:customStyle="1">
    <w:name w:val="Comment Reference1"/>
    <w:basedOn w:val="DefaultParagraphFont"/>
    <w:unhideWhenUsed/>
    <w:rPr>
      <w:sz w:val="16"/>
      <w:szCs w:val="16"/>
    </w:rPr>
  </w:style>
  <w:style w:type="paragraph" w:styleId="CommentText1" w:customStyle="1">
    <w:name w:val="Comment Text1"/>
    <w:basedOn w:val="Normal"/>
    <w:link w:val="CommentTextChar"/>
    <w:unhideWhenUsed/>
    <w:pPr>
      <w:spacing/>
    </w:pPr>
    <w:rPr>
      <w:sz w:val="20"/>
      <w:szCs w:val="20"/>
    </w:rPr>
  </w:style>
  <w:style w:type="character" w:styleId="CommentTextChar" w:customStyle="1">
    <w:name w:val="Comment Text Char"/>
    <w:basedOn w:val="DefaultParagraphFont"/>
    <w:link w:val="CommentText1"/>
    <w:rPr>
      <w:rFonts w:ascii="Times New Roman" w:hAnsi="Times New Roman" w:eastAsia="Times New Roman" w:cs="Times New Roman"/>
      <w:sz w:val="20"/>
      <w:szCs w:val="20"/>
    </w:rPr>
  </w:style>
  <w:style w:type="paragraph" w:styleId="BalloonText">
    <w:name w:val="Balloon Text"/>
    <w:basedOn w:val="Normal"/>
    <w:link w:val="BalloonTextChar"/>
    <w:semiHidden/>
    <w:unhideWhenUsed/>
    <w:pPr>
      <w:spacing/>
    </w:pPr>
    <w:rPr>
      <w:rFonts w:ascii="Segoe UI" w:hAnsi="Segoe UI" w:eastAsia="Segoe UI" w:cs="Segoe UI"/>
      <w:sz w:val="18"/>
      <w:szCs w:val="18"/>
    </w:rPr>
  </w:style>
  <w:style w:type="character" w:styleId="BalloonTextChar" w:customStyle="1">
    <w:name w:val="Balloon Text Char"/>
    <w:basedOn w:val="DefaultParagraphFont"/>
    <w:link w:val="BalloonText"/>
    <w:semiHidden/>
    <w:rPr>
      <w:rFonts w:ascii="Segoe UI" w:hAnsi="Segoe UI" w:eastAsia="Segoe UI" w:cs="Segoe UI"/>
      <w:sz w:val="18"/>
      <w:szCs w:val="18"/>
    </w:rPr>
  </w:style>
  <w:style w:type="paragraph" w:styleId="CommentSubject1" w:customStyle="1">
    <w:name w:val="Comment Subject1"/>
    <w:basedOn w:val="CommentText1"/>
    <w:link w:val="CommentSubjectChar"/>
    <w:semiHidden/>
    <w:unhideWhenUsed/>
    <w:pPr>
      <w:spacing/>
    </w:pPr>
    <w:rPr>
      <w:b/>
      <w:bCs/>
    </w:rPr>
  </w:style>
  <w:style w:type="character" w:styleId="CommentSubjectChar" w:customStyle="1">
    <w:name w:val="Comment Subject Char"/>
    <w:basedOn w:val="DefaultParagraphFont"/>
    <w:link w:val="CommentSubject1"/>
    <w:semiHidden/>
    <w:rPr>
      <w:rFonts w:ascii="Times New Roman" w:hAnsi="Times New Roman" w:eastAsia="Times New Roman" w:cs="Times New Roman"/>
      <w:b/>
      <w:bCs/>
      <w:sz w:val="20"/>
      <w:szCs w:val="20"/>
    </w:rPr>
  </w:style>
  <w:style w:type="character" w:styleId="Hyperlink">
    <w:name w:val="Hyperlink"/>
    <w:basedOn w:val="DefaultParagraphFont"/>
    <w:rPr>
      <w:color w:val="0000FF"/>
      <w:u w:val="single"/>
    </w:rPr>
  </w:style>
  <w:style w:type="paragraph" w:styleId="ListParagraph">
    <w:name w:val="List Paragraph"/>
    <w:basedOn w:val="Normal"/>
    <w:qFormat/>
    <w:pPr>
      <w:spacing/>
      <w:ind w:left="720"/>
      <w:contextualSpacing/>
    </w:pPr>
    <w:rPr/>
  </w:style>
  <w:style w:type="character" w:styleId="FollowedHyperlink">
    <w:name w:val="FollowedHyperlink"/>
    <w:basedOn w:val="DefaultParagraphFont"/>
    <w:semiHidden/>
    <w:unhideWhenUsed/>
    <w:rPr>
      <w:color w:val="954F72"/>
      <w:u w:val="single"/>
    </w:rPr>
  </w:style>
  <w:style w:type="character" w:styleId="Heading2Char" w:customStyle="1">
    <w:name w:val="Heading 2 Char"/>
    <w:basedOn w:val="DefaultParagraphFont"/>
    <w:link w:val="Heading2"/>
    <w:rPr>
      <w:rFonts w:ascii="Times New Roman" w:hAnsi="Times New Roman" w:eastAsia="Times New Roman" w:cs="Arial"/>
      <w:b/>
      <w:bCs/>
      <w:iCs/>
      <w:caps/>
      <w:sz w:val="24"/>
      <w:szCs w:val="28"/>
    </w:rPr>
  </w:style>
  <w:style w:type="paragraph" w:styleId="Dates" w:customStyle="1">
    <w:name w:val="Dates"/>
    <w:basedOn w:val="Article"/>
    <w:next w:val="LeadInSentence"/>
    <w:pPr>
      <w:spacing w:before="0" w:after="240"/>
      <w:contextualSpacing/>
    </w:pPr>
    <w:rPr>
      <w:bCs/>
      <w:iCs/>
      <w:caps/>
      <w:szCs w:val="20"/>
    </w:rPr>
  </w:style>
  <w:style w:type="paragraph" w:styleId="LeadInSentence" w:customStyle="1">
    <w:name w:val="Lead In Sentence"/>
    <w:next w:val="BodyText"/>
    <w:pPr>
      <w:keepNext/>
      <w:spacing w:after="240"/>
      <w:ind w:firstLine="720"/>
    </w:pPr>
    <w:rPr>
      <w:rFonts w:ascii="Times New Roman" w:hAnsi="Times New Roman" w:eastAsia="Times New Roman"/>
      <w:sz w:val="24"/>
    </w:rPr>
  </w:style>
  <w:style w:type="character" w:styleId="Heading1Char" w:customStyle="1">
    <w:name w:val="Heading 1 Char"/>
    <w:basedOn w:val="DefaultParagraphFont"/>
    <w:link w:val="Heading1"/>
    <w:rPr>
      <w:rFonts w:ascii="Times New Roman" w:hAnsi="Times New Roman" w:eastAsia="Times New Roman" w:cs="Arial"/>
      <w:b/>
      <w:iCs/>
      <w:caps/>
      <w:kern w:val="32"/>
      <w:sz w:val="96"/>
      <w:szCs w:val="32"/>
    </w:rPr>
  </w:style>
  <w:style w:type="character" w:styleId="Heading8Char" w:customStyle="1">
    <w:name w:val="Heading 8 Char"/>
    <w:basedOn w:val="DefaultParagraphFont"/>
    <w:link w:val="Heading8"/>
    <w:rPr>
      <w:rFonts w:ascii="Times New Roman" w:hAnsi="Times New Roman" w:eastAsia="Times New Roman" w:cs="Times New Roman"/>
      <w:b/>
      <w:iCs/>
      <w:sz w:val="24"/>
    </w:rPr>
  </w:style>
  <w:style w:type="character" w:styleId="Heading9Char" w:customStyle="1">
    <w:name w:val="Heading 9 Char"/>
    <w:basedOn w:val="DefaultParagraphFont"/>
    <w:link w:val="Heading9"/>
    <w:rPr>
      <w:rFonts w:ascii="Arial" w:hAnsi="Arial" w:eastAsia="Times New Roman" w:cs="Arial"/>
      <w:b/>
      <w:sz w:val="24"/>
      <w:szCs w:val="22"/>
    </w:rPr>
  </w:style>
  <w:style w:type="paragraph" w:styleId="SectionHeading" w:customStyle="1">
    <w:name w:val="Section Heading"/>
    <w:next w:val="Article"/>
    <w:pPr>
      <w:keepNext/>
      <w:spacing w:before="120"/>
      <w:jc w:val="center"/>
    </w:pPr>
    <w:rPr>
      <w:rFonts w:ascii="Times New Roman" w:hAnsi="Times New Roman" w:eastAsia="Times New Roman"/>
      <w:b/>
      <w:caps/>
      <w:sz w:val="24"/>
    </w:rPr>
  </w:style>
  <w:style w:type="paragraph" w:styleId="Article" w:customStyle="1">
    <w:name w:val="Article"/>
    <w:next w:val="BodyText"/>
    <w:link w:val="ArticleChar"/>
    <w:pPr>
      <w:keepNext/>
      <w:tabs>
        <w:tab w:val="left" w:pos="720"/>
      </w:tabs>
      <w:spacing w:before="240"/>
    </w:pPr>
    <w:rPr>
      <w:rFonts w:ascii="Times New Roman" w:hAnsi="Times New Roman" w:eastAsiaTheme="minorHAnsi"/>
      <w:b/>
      <w:sz w:val="24"/>
      <w:szCs w:val="24"/>
    </w:rPr>
  </w:style>
  <w:style w:type="paragraph" w:styleId="TOC2">
    <w:name w:val="TOC 2"/>
    <w:basedOn w:val="Normal"/>
    <w:next w:val="Normal"/>
    <w:pPr>
      <w:spacing/>
      <w:ind w:left="1080" w:right="1080" w:hanging="720"/>
    </w:pPr>
    <w:rPr/>
  </w:style>
  <w:style w:type="paragraph" w:styleId="Section8" w:customStyle="1">
    <w:name w:val="Section 8"/>
    <w:basedOn w:val="Heading8"/>
    <w:next w:val="Dates"/>
    <w:numPr>
      <w:numId w:val="9"/>
    </w:numPr>
    <w:pPr>
      <w:keepLines/>
      <w:numPr>
        <w:numId w:val="9"/>
      </w:numPr>
      <w:spacing w:before="0" w:after="0"/>
      <w:outlineLvl w:val="7"/>
    </w:pPr>
    <w:rPr/>
  </w:style>
  <w:style w:type="paragraph" w:styleId="Section102" w:customStyle="1">
    <w:name w:val="Section 102"/>
    <w:basedOn w:val="Heading9"/>
    <w:numPr>
      <w:numId w:val="15"/>
    </w:numPr>
    <w:pPr>
      <w:widowControl w:val="false"/>
      <w:numPr>
        <w:numId w:val="15"/>
      </w:numPr>
      <w:autoSpaceDE w:val="false"/>
      <w:autoSpaceDN w:val="false"/>
      <w:adjustRightInd w:val="false"/>
      <w:spacing w:before="0" w:after="0"/>
      <w:outlineLvl w:val="8"/>
    </w:pPr>
    <w:rPr>
      <w:rFonts w:ascii="Times New Roman" w:hAnsi="Times New Roman" w:eastAsia="Times New Roman" w:cs="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spacing/>
      <w:ind w:left="360"/>
    </w:pPr>
    <w:rPr/>
  </w:style>
  <w:style w:type="paragraph" w:styleId="TOC4">
    <w:name w:val="TOC 4"/>
    <w:basedOn w:val="Normal"/>
    <w:next w:val="Normal"/>
    <w:semiHidden/>
    <w:pPr>
      <w:spacing/>
      <w:ind w:left="720"/>
    </w:pPr>
    <w:rPr/>
  </w:style>
  <w:style w:type="paragraph" w:styleId="TOC5">
    <w:name w:val="TOC 5"/>
    <w:basedOn w:val="Normal"/>
    <w:next w:val="Normal"/>
    <w:semiHidden/>
    <w:pPr>
      <w:spacing/>
      <w:ind w:left="960"/>
    </w:pPr>
    <w:rPr/>
  </w:style>
  <w:style w:type="paragraph" w:styleId="TOC6">
    <w:name w:val="TOC 6"/>
    <w:basedOn w:val="Normal"/>
    <w:next w:val="Normal"/>
    <w:semiHidden/>
    <w:pPr>
      <w:spacing/>
      <w:ind w:left="1200"/>
    </w:pPr>
    <w:rPr/>
  </w:style>
  <w:style w:type="paragraph" w:styleId="TOC7">
    <w:name w:val="TOC 7"/>
    <w:basedOn w:val="Normal"/>
    <w:next w:val="Normal"/>
    <w:semiHidden/>
    <w:pPr>
      <w:spacing/>
      <w:ind w:left="1440"/>
    </w:pPr>
    <w:rPr/>
  </w:style>
  <w:style w:type="paragraph" w:styleId="TOC8">
    <w:name w:val="TOC 8"/>
    <w:basedOn w:val="Normal"/>
    <w:next w:val="Normal"/>
    <w:semiHidden/>
    <w:pPr>
      <w:spacing/>
      <w:ind w:left="1680"/>
    </w:pPr>
    <w:rPr/>
  </w:style>
  <w:style w:type="paragraph" w:styleId="TOC9">
    <w:name w:val="TOC 9"/>
    <w:basedOn w:val="Normal"/>
    <w:next w:val="Normal"/>
    <w:semiHidden/>
    <w:pPr>
      <w:spacing/>
      <w:ind w:left="1920"/>
    </w:pPr>
    <w:rPr/>
  </w:style>
  <w:style w:type="paragraph" w:styleId="Header">
    <w:name w:val="Header"/>
    <w:link w:val="HeaderChar"/>
    <w:qFormat/>
    <w:pPr>
      <w:tabs>
        <w:tab w:val="center" w:pos="4320"/>
        <w:tab w:val="right" w:pos="8640"/>
      </w:tabs>
      <w:spacing/>
      <w:jc w:val="right"/>
    </w:pPr>
    <w:rPr>
      <w:rFonts w:ascii="Times New Roman" w:hAnsi="Times New Roman" w:eastAsia="Times New Roman"/>
      <w:sz w:val="24"/>
    </w:rPr>
  </w:style>
  <w:style w:type="character" w:styleId="HeaderChar" w:customStyle="1">
    <w:name w:val="Header Char"/>
    <w:basedOn w:val="DefaultParagraphFont"/>
    <w:link w:val="Header"/>
    <w:rPr>
      <w:rFonts w:ascii="Times New Roman" w:hAnsi="Times New Roman" w:eastAsia="Times New Roman"/>
      <w:sz w:val="24"/>
    </w:rPr>
  </w:style>
  <w:style w:type="paragraph" w:styleId="Footer">
    <w:name w:val="Footer"/>
    <w:basedOn w:val="Normal"/>
    <w:link w:val="FooterChar"/>
    <w:pPr>
      <w:tabs>
        <w:tab w:val="center" w:pos="4320"/>
        <w:tab w:val="right" w:pos="8640"/>
      </w:tabs>
      <w:spacing/>
    </w:pPr>
    <w:rPr>
      <w:sz w:val="22"/>
    </w:rPr>
  </w:style>
  <w:style w:type="character" w:styleId="FooterChar" w:customStyle="1">
    <w:name w:val="Footer Char"/>
    <w:basedOn w:val="DefaultParagraphFont"/>
    <w:link w:val="Footer"/>
    <w:rPr>
      <w:rFonts w:ascii="Times New Roman" w:hAnsi="Times New Roman" w:eastAsia="Times New Roman" w:cs="Times New Roman"/>
      <w:sz w:val="22"/>
      <w:szCs w:val="22"/>
    </w:rPr>
  </w:style>
  <w:style w:type="paragraph" w:styleId="BlockText">
    <w:name w:val="Block Text"/>
    <w:basedOn w:val="Normal"/>
    <w:pPr>
      <w:spacing w:after="120"/>
      <w:ind w:left="1440" w:right="1440"/>
    </w:pPr>
    <w:rPr/>
  </w:style>
  <w:style w:type="paragraph" w:styleId="PayItem" w:customStyle="1">
    <w:name w:val="PayItem"/>
    <w:basedOn w:val="BodyText"/>
    <w:qFormat/>
    <w:pPr>
      <w:tabs>
        <w:tab w:val="clear" w:pos="720"/>
      </w:tabs>
      <w:spacing/>
      <w:ind w:left="3600" w:right="10" w:hanging="2170"/>
    </w:pPr>
    <w:rPr/>
  </w:style>
  <w:style w:type="paragraph" w:styleId="Revision1" w:customStyle="1">
    <w:name w:val="Revision1"/>
    <w:semiHidden/>
    <w:pPr>
      <w:spacing/>
    </w:pPr>
    <w:rPr>
      <w:rFonts w:ascii="Times New Roman" w:hAnsi="Times New Roman" w:eastAsia="Times New Roman"/>
      <w:sz w:val="24"/>
      <w:szCs w:val="24"/>
    </w:rPr>
  </w:style>
  <w:style w:type="character" w:styleId="ArticleChar" w:customStyle="1">
    <w:name w:val="Article Char"/>
    <w:basedOn w:val="DefaultParagraphFont"/>
    <w:link w:val="Article"/>
    <w:rPr>
      <w:rFonts w:ascii="Times New Roman" w:hAnsi="Times New Roman" w:eastAsiaTheme="minorHAnsi"/>
      <w:b/>
      <w:sz w:val="24"/>
      <w:szCs w:val="24"/>
    </w:rPr>
  </w:style>
  <w:style w:type="paragraph" w:styleId="TOCHeading1" w:customStyle="1">
    <w:name w:val="TOC Heading1"/>
    <w:basedOn w:val="Heading1"/>
    <w:next w:val="Normal"/>
    <w:unhideWhenUsed/>
    <w:qFormat/>
    <w:pPr>
      <w:keepLines/>
      <w:tabs>
        <w:tab w:val="clear" w:pos="720"/>
      </w:tabs>
      <w:spacing w:after="0" w:line="259" w:lineRule="auto"/>
      <w:outlineLvl w:val="0"/>
    </w:pPr>
    <w:rPr>
      <w:rFonts w:ascii="Calibri Light" w:hAnsi="Calibri Light" w:eastAsia="Calibri Light" w:cs="Times New Roman"/>
      <w:b w:val="0"/>
      <w:iCs w:val="0"/>
      <w:caps w:val="0"/>
      <w:color w:val="2F5496"/>
      <w:kern w:val="0"/>
      <w:sz w:val="32"/>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3E40-811F-4947-A401-6EB9F2F2E6E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471</Words>
  <Characters>2690</Characters>
  <Application>Microsoft Office Word</Application>
  <DocSecurity>0</DocSecurity>
  <Lines>22</Lines>
  <Paragraphs>6</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7-1-4</dc:title>
  <dc:subject/>
  <cp:keywords/>
  <dc:description/>
  <cp:lastModifiedBy>Hunsicker, Darla</cp:lastModifiedBy>
  <cp:revision>3</cp:revision>
  <dcterms:created xsi:type="dcterms:W3CDTF">2020-09-29T13:27:00Z</dcterms:created>
  <dcterms:modified xsi:type="dcterms:W3CDTF">2023-03-09T16:37:00Z</dcterms:modified>
  <cp:category>Construction Maintenance LAP </cp:category>
</cp:coreProperties>
</file>