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spacing/>
        <w:rPr/>
      </w:pPr>
      <w:r>
        <w:rPr/>
        <w:t xml:space="preserve">LANDSCAPING</w:t>
      </w:r>
      <w:r>
        <w:rPr/>
        <w:t xml:space="preserve">.</w:t>
      </w:r>
    </w:p>
    <w:p>
      <w:pPr>
        <w:pStyle w:val="Dates"/>
        <w:spacing/>
        <w:rPr/>
      </w:pPr>
      <w:r>
        <w:rPr/>
        <w:t xml:space="preserve">(REV 1</w:t>
      </w:r>
      <w:r>
        <w:rPr/>
        <w:t xml:space="preserve">0</w:t>
      </w:r>
      <w:r>
        <w:rPr/>
        <w:t xml:space="preserve">-</w:t>
      </w:r>
      <w:r>
        <w:rPr/>
        <w:t xml:space="preserve">30</w:t>
      </w:r>
      <w:r>
        <w:rPr/>
        <w:t xml:space="preserve">-1</w:t>
      </w:r>
      <w:r>
        <w:rPr/>
        <w:t xml:space="preserve">9</w:t>
      </w:r>
      <w:r>
        <w:rPr/>
        <w:t xml:space="preserve">) </w:t>
      </w:r>
      <w:r>
        <w:rPr/>
        <w:t xml:space="preserve">(FA </w:t>
      </w:r>
      <w:r>
        <w:rPr/>
        <w:t xml:space="preserve">1</w:t>
      </w:r>
      <w:r>
        <w:rPr/>
        <w:t xml:space="preserve">-</w:t>
      </w:r>
      <w:r>
        <w:rPr/>
        <w:t xml:space="preserve">7</w:t>
      </w:r>
      <w:r>
        <w:rPr/>
        <w:t xml:space="preserve">-</w:t>
      </w:r>
      <w:r>
        <w:rPr/>
        <w:t xml:space="preserve">20</w:t>
      </w:r>
      <w:r>
        <w:rPr/>
        <w:t xml:space="preserve">)</w:t>
      </w:r>
      <w:r>
        <w:rPr/>
        <w:t xml:space="preserve"> </w:t>
      </w:r>
      <w:r>
        <w:rPr/>
        <w:t xml:space="preserve">(FY 2026-27)</w:t>
      </w:r>
    </w:p>
    <w:p>
      <w:pPr>
        <w:pStyle w:val="LeadInSentence"/>
        <w:spacing/>
        <w:rPr/>
      </w:pPr>
      <w:r>
        <w:rPr/>
        <w:t xml:space="preserve">The following new Section is added after Section </w:t>
      </w:r>
      <w:bookmarkStart w:id="2" w:name="_GoBack"/>
      <w:bookmarkEnd w:id="2"/>
      <w:r>
        <w:rPr/>
        <w:t xml:space="preserve">571</w:t>
      </w:r>
      <w:r>
        <w:rPr/>
        <w:t xml:space="preserve">:</w:t>
      </w:r>
    </w:p>
    <w:p>
      <w:pPr>
        <w:pStyle w:val="SectionHeading"/>
        <w:spacing/>
        <w:rPr/>
      </w:pPr>
      <w:r>
        <w:rPr/>
        <w:t xml:space="preserve">SECTION 580</w:t>
      </w:r>
      <w:r>
        <w:rPr/>
        <w:br/>
      </w:r>
      <w:r>
        <w:rPr/>
        <w:t xml:space="preserve">LANDSCAPING</w:t>
      </w:r>
    </w:p>
    <w:p>
      <w:pPr>
        <w:pStyle w:val="Article"/>
        <w:spacing/>
        <w:rPr/>
      </w:pPr>
      <w:r>
        <w:rPr/>
        <w:t xml:space="preserve">580-1 Description.</w:t>
      </w:r>
    </w:p>
    <w:p>
      <w:pPr>
        <w:spacing/>
        <w:rPr/>
      </w:pPr>
      <w:r>
        <w:rPr/>
        <w:tab/>
        <w:t xml:space="preserve"/>
      </w:r>
      <w:r>
        <w:rPr/>
        <w:t xml:space="preserve">Install landscaping as indicated in the Contract Documents.</w:t>
      </w:r>
    </w:p>
    <w:p>
      <w:pPr>
        <w:pStyle w:val="Article"/>
        <w:spacing/>
        <w:rPr/>
      </w:pPr>
      <w:r>
        <w:rPr/>
        <w:t xml:space="preserve">580-</w:t>
      </w:r>
      <w:r>
        <w:rPr/>
        <w:t xml:space="preserve">2</w:t>
      </w:r>
      <w:r>
        <w:rPr/>
        <w:t xml:space="preserve"> </w:t>
      </w:r>
      <w:r>
        <w:rPr/>
        <w:t xml:space="preserve">Materials.</w:t>
      </w:r>
    </w:p>
    <w:p>
      <w:pPr>
        <w:pStyle w:val="BodyText"/>
        <w:spacing/>
        <w:rPr>
          <w:b/>
          <w:bCs/>
        </w:rPr>
      </w:pPr>
      <w:r>
        <w:rPr>
          <w:b/>
          <w:bCs/>
        </w:rPr>
        <w:tab/>
        <w:t xml:space="preserve"/>
      </w:r>
      <w:r>
        <w:rPr>
          <w:b/>
          <w:bCs/>
        </w:rPr>
        <w:t xml:space="preserve">580-</w:t>
      </w:r>
      <w:r>
        <w:rPr>
          <w:b/>
          <w:bCs/>
        </w:rPr>
        <w:t xml:space="preserve">2</w:t>
      </w:r>
      <w:r>
        <w:rPr>
          <w:b/>
          <w:bCs/>
        </w:rPr>
        <w:t xml:space="preserve">.1 Plants:</w:t>
      </w:r>
    </w:p>
    <w:p>
      <w:pPr>
        <w:pStyle w:val="BodyText"/>
        <w:spacing/>
        <w:rPr/>
      </w:pPr>
      <w:r>
        <w:rPr>
          <w:bCs/>
        </w:rPr>
        <w:tab/>
        <w:t xml:space="preserve"/>
      </w:r>
      <w:r>
        <w:rPr>
          <w:bCs/>
        </w:rPr>
        <w:tab/>
        <w:t xml:space="preserve"/>
      </w:r>
      <w:r>
        <w:rPr>
          <w:b/>
          <w:bCs/>
        </w:rPr>
        <w:t xml:space="preserve">580-</w:t>
      </w:r>
      <w:r>
        <w:rPr>
          <w:b/>
          <w:bCs/>
        </w:rPr>
        <w:t xml:space="preserve">2</w:t>
      </w:r>
      <w:r>
        <w:rPr>
          <w:b/>
          <w:bCs/>
        </w:rPr>
        <w:t xml:space="preserve">.1.1 Sizes:</w:t>
      </w:r>
      <w:r>
        <w:rPr>
          <w:bCs/>
        </w:rPr>
        <w:t xml:space="preserve"> </w:t>
      </w:r>
      <w:r>
        <w:rPr/>
        <w:t xml:space="preserve">Small plants includes all ground covers, shrubs less than 7</w:t>
      </w:r>
      <w:r>
        <w:rPr/>
        <w:t xml:space="preserve"> </w:t>
      </w:r>
      <w:r>
        <w:rPr/>
        <w:t xml:space="preserve">gallon, trees less than </w:t>
      </w:r>
      <w:r>
        <w:rPr/>
        <w:t xml:space="preserve">7</w:t>
      </w:r>
      <w:r>
        <w:rPr/>
        <w:t xml:space="preserve"> </w:t>
      </w:r>
      <w:r>
        <w:rPr/>
        <w:t xml:space="preserve">gallon</w:t>
      </w:r>
      <w:r>
        <w:rPr/>
        <w:t xml:space="preserve">, clustering type palms less than 6</w:t>
      </w:r>
      <w:r>
        <w:rPr/>
        <w:t xml:space="preserve"> </w:t>
      </w:r>
      <w:r>
        <w:rPr/>
        <w:t xml:space="preserve">foot overall height, cycads t less than 7</w:t>
      </w:r>
      <w:r>
        <w:rPr/>
        <w:t xml:space="preserve"> </w:t>
      </w:r>
      <w:r>
        <w:rPr/>
        <w:t xml:space="preserve">gallon, and incidental</w:t>
      </w:r>
      <w:r>
        <w:rPr/>
        <w:t xml:space="preserve"> landscaping</w:t>
      </w:r>
      <w:r>
        <w:rPr/>
        <w:t xml:space="preserve">.</w:t>
      </w:r>
    </w:p>
    <w:p>
      <w:pPr>
        <w:pStyle w:val="BodyText"/>
        <w:spacing/>
        <w:rPr>
          <w:bCs/>
        </w:rPr>
      </w:pPr>
      <w:r>
        <w:rPr/>
        <w:tab/>
        <w:t xml:space="preserve"/>
      </w:r>
      <w:r>
        <w:rPr/>
        <w:tab/>
        <w:t xml:space="preserve"/>
      </w:r>
      <w:r>
        <w:rPr/>
        <w:tab/>
        <w:t xml:space="preserve"/>
      </w:r>
      <w:r>
        <w:rPr/>
        <w:t xml:space="preserve">Large plants include shrubs 7</w:t>
      </w:r>
      <w:r>
        <w:rPr/>
        <w:t xml:space="preserve"> </w:t>
      </w:r>
      <w:r>
        <w:rPr/>
        <w:t xml:space="preserve">gallon or greater, trees 7</w:t>
      </w:r>
      <w:r>
        <w:rPr/>
        <w:t xml:space="preserve"> </w:t>
      </w:r>
      <w:r>
        <w:rPr/>
        <w:t xml:space="preserve">gallon or greater, all single trunk palms, </w:t>
      </w:r>
      <w:r>
        <w:rPr/>
        <w:t xml:space="preserve">and </w:t>
      </w:r>
      <w:r>
        <w:rPr/>
        <w:t xml:space="preserve">clustering type palms </w:t>
      </w:r>
      <w:r>
        <w:rPr/>
        <w:t xml:space="preserve">6</w:t>
      </w:r>
      <w:r>
        <w:rPr/>
        <w:t xml:space="preserve"> </w:t>
      </w:r>
      <w:r>
        <w:rPr/>
        <w:t xml:space="preserve">foot</w:t>
      </w:r>
      <w:r>
        <w:rPr/>
        <w:t xml:space="preserve"> overall height and greater.</w:t>
      </w:r>
    </w:p>
    <w:p>
      <w:pPr>
        <w:pStyle w:val="BodyText"/>
        <w:spacing/>
        <w:rPr/>
      </w:pPr>
      <w:r>
        <w:rPr>
          <w:bCs/>
        </w:rPr>
        <w:tab/>
        <w:t xml:space="preserve"/>
      </w:r>
      <w:r>
        <w:rPr>
          <w:bCs/>
        </w:rPr>
        <w:tab/>
        <w:t xml:space="preserve"/>
      </w:r>
      <w:r>
        <w:rPr>
          <w:b/>
          <w:bCs/>
        </w:rPr>
        <w:t xml:space="preserve">580-</w:t>
      </w:r>
      <w:r>
        <w:rPr>
          <w:b/>
          <w:bCs/>
        </w:rPr>
        <w:t xml:space="preserve">2</w:t>
      </w:r>
      <w:r>
        <w:rPr>
          <w:b/>
          <w:bCs/>
        </w:rPr>
        <w:t xml:space="preserve">.1.2 Grade Standards and Conformity with Type and Species:</w:t>
      </w:r>
      <w:r>
        <w:rPr/>
        <w:t xml:space="preserve"> </w:t>
      </w:r>
      <w:r>
        <w:rPr/>
        <w:t xml:space="preserve">Provide plant materials purchased from Florida commercial nursery stock that comply with all required inspection, grading standards, and plant regulations in accordance with the latest edition of the Florida Department of Agriculture’s “Grades and Standards for Nursery Plants.”</w:t>
      </w:r>
    </w:p>
    <w:p>
      <w:pPr>
        <w:widowControl w:val="true"/>
        <w:tabs>
          <w:tab w:val="left" w:pos="720"/>
        </w:tabs>
        <w:autoSpaceDE w:val="true"/>
        <w:autoSpaceDN w:val="true"/>
        <w:adjustRightInd w:val="true"/>
        <w:spacing/>
        <w:rPr>
          <w:szCs w:val="20"/>
        </w:rPr>
      </w:pPr>
      <w:r>
        <w:rPr>
          <w:szCs w:val="20"/>
        </w:rPr>
        <w:tab/>
        <w:t xml:space="preserve"/>
      </w:r>
      <w:r>
        <w:rPr>
          <w:szCs w:val="20"/>
        </w:rPr>
        <w:tab/>
        <w:t xml:space="preserve"/>
      </w:r>
      <w:r>
        <w:rPr>
          <w:szCs w:val="20"/>
        </w:rPr>
        <w:tab/>
        <w:t xml:space="preserve"/>
      </w:r>
      <w:r>
        <w:rPr>
          <w:szCs w:val="20"/>
        </w:rPr>
        <w:t xml:space="preserve">Florida commercial nursery stock is defined as plants propagated or grown at a Florida commercial nursery or imported to a Florida commercial nursery, made available for sale to the public, and included as inventory for fee. Nursery stock purchased from outside Florida and shipped directly to the project site is not Florida commercial nursery stock. Prior to installation, provide nursery invoices or delivery tickets that include written certification that all nursery stock meets the requirements of this Section.</w:t>
      </w:r>
    </w:p>
    <w:p>
      <w:pPr>
        <w:widowControl w:val="true"/>
        <w:tabs>
          <w:tab w:val="left" w:pos="720"/>
        </w:tabs>
        <w:autoSpaceDE w:val="true"/>
        <w:autoSpaceDN w:val="true"/>
        <w:adjustRightInd w:val="true"/>
        <w:spacing/>
        <w:rPr>
          <w:szCs w:val="20"/>
        </w:rPr>
      </w:pPr>
      <w:r>
        <w:rPr>
          <w:szCs w:val="20"/>
        </w:rPr>
        <w:tab/>
        <w:t xml:space="preserve"/>
      </w:r>
      <w:r>
        <w:rPr>
          <w:szCs w:val="20"/>
        </w:rPr>
        <w:tab/>
        <w:t xml:space="preserve"/>
      </w:r>
      <w:r>
        <w:rPr>
          <w:szCs w:val="20"/>
        </w:rPr>
        <w:tab/>
        <w:t xml:space="preserve"/>
      </w:r>
      <w:r>
        <w:rPr>
          <w:szCs w:val="20"/>
        </w:rPr>
        <w:t xml:space="preserve">Unless otherwise specified, the minimum grade for plant material is Florida No. 1. </w:t>
      </w:r>
      <w:r>
        <w:rPr>
          <w:szCs w:val="20"/>
        </w:rPr>
        <w:t xml:space="preserve">P</w:t>
      </w:r>
      <w:r>
        <w:rPr>
          <w:szCs w:val="20"/>
        </w:rPr>
        <w:t xml:space="preserve">lant materials must be the specified size and grade at the time of delivery to the site.</w:t>
      </w:r>
    </w:p>
    <w:p>
      <w:pPr>
        <w:widowControl w:val="true"/>
        <w:tabs>
          <w:tab w:val="left" w:pos="720"/>
        </w:tabs>
        <w:autoSpaceDE w:val="true"/>
        <w:autoSpaceDN w:val="true"/>
        <w:adjustRightInd w:val="true"/>
        <w:spacing/>
        <w:rPr>
          <w:szCs w:val="20"/>
        </w:rPr>
      </w:pPr>
      <w:r>
        <w:rPr>
          <w:szCs w:val="20"/>
        </w:rPr>
        <w:tab/>
        <w:t xml:space="preserve"/>
      </w:r>
      <w:r>
        <w:rPr>
          <w:szCs w:val="20"/>
        </w:rPr>
        <w:tab/>
        <w:t xml:space="preserve"/>
      </w:r>
      <w:r>
        <w:rPr>
          <w:szCs w:val="20"/>
        </w:rPr>
        <w:tab/>
        <w:t xml:space="preserve"/>
      </w:r>
      <w:r>
        <w:rPr>
          <w:szCs w:val="20"/>
        </w:rPr>
        <w:t xml:space="preserve">Use only plants that are true to type and species, free of fungal infection and disease, and ensure that the plants not specifically covered by Florida Department of Agriculture’s “Grades and Standards for Nursery Plants” conform in type and species with the standards and designations in general acceptance by Florida nurseries. Submit a list of nurseries where plants are tagged, including contact information and location. </w:t>
      </w:r>
      <w:r>
        <w:rPr>
          <w:szCs w:val="20"/>
        </w:rPr>
        <w:t xml:space="preserve">The Engineer may visit the nursery sites to inspect representative samples and lock tag the example plant material.</w:t>
      </w:r>
    </w:p>
    <w:p>
      <w:pPr>
        <w:widowControl w:val="true"/>
        <w:tabs>
          <w:tab w:val="left" w:pos="720"/>
        </w:tabs>
        <w:autoSpaceDE w:val="true"/>
        <w:autoSpaceDN w:val="true"/>
        <w:adjustRightInd w:val="true"/>
        <w:spacing/>
        <w:rPr/>
      </w:pPr>
      <w:r>
        <w:rPr/>
        <w:tab/>
        <w:t xml:space="preserve"/>
      </w:r>
      <w:r>
        <w:rPr/>
        <w:tab/>
        <w:t xml:space="preserve"/>
      </w:r>
      <w:r>
        <w:rPr/>
        <w:tab/>
        <w:t xml:space="preserve"/>
      </w:r>
      <w:r>
        <w:rPr/>
        <w:t xml:space="preserve">A minimum of two plants of each species on each shipment must be shipped with tags stating the botanical nomenclature and common name of the plant. Should discrepancies between botanical nomenclature and common name arise, the botanical name will take precedence.</w:t>
      </w:r>
    </w:p>
    <w:p>
      <w:pPr>
        <w:pStyle w:val="BodyText"/>
        <w:spacing/>
        <w:rPr/>
      </w:pPr>
      <w:r>
        <w:rPr/>
        <w:tab/>
        <w:t xml:space="preserve"/>
      </w:r>
      <w:r>
        <w:rPr>
          <w:b/>
          <w:bCs/>
        </w:rPr>
        <w:t xml:space="preserve">580-</w:t>
      </w:r>
      <w:r>
        <w:rPr>
          <w:b/>
          <w:bCs/>
        </w:rPr>
        <w:t xml:space="preserve">2</w:t>
      </w:r>
      <w:r>
        <w:rPr>
          <w:b/>
          <w:bCs/>
        </w:rPr>
        <w:t xml:space="preserve">.</w:t>
      </w:r>
      <w:r>
        <w:rPr>
          <w:b/>
          <w:bCs/>
        </w:rPr>
        <w:t xml:space="preserve">2</w:t>
      </w:r>
      <w:r>
        <w:rPr>
          <w:b/>
          <w:bCs/>
        </w:rPr>
        <w:t xml:space="preserve"> Inspection and Transporting:</w:t>
      </w:r>
      <w:r>
        <w:rPr/>
        <w:t xml:space="preserve"> Move nursery stock in accordance with all Federal</w:t>
      </w:r>
      <w:r>
        <w:rPr/>
        <w:t xml:space="preserve">,</w:t>
      </w:r>
      <w:r>
        <w:rPr/>
        <w:t xml:space="preserve"> State</w:t>
      </w:r>
      <w:r>
        <w:rPr/>
        <w:t xml:space="preserve">, and Local Rules and</w:t>
      </w:r>
      <w:r>
        <w:rPr/>
        <w:t xml:space="preserve"> </w:t>
      </w:r>
      <w:r>
        <w:rPr/>
        <w:t xml:space="preserve">R</w:t>
      </w:r>
      <w:r>
        <w:rPr/>
        <w:t xml:space="preserve">egulations</w:t>
      </w:r>
      <w:r>
        <w:rPr/>
        <w:t xml:space="preserve">.</w:t>
      </w:r>
      <w:r>
        <w:rPr/>
        <w:t xml:space="preserve"> </w:t>
      </w:r>
      <w:r>
        <w:rPr/>
        <w:t xml:space="preserve">For</w:t>
      </w:r>
      <w:r>
        <w:rPr/>
        <w:t xml:space="preserve"> each shipment </w:t>
      </w:r>
      <w:r>
        <w:rPr/>
        <w:t xml:space="preserve">of nursery stock, provide the nursery’s General Nursery Stock Inspection Certificate</w:t>
      </w:r>
      <w:r>
        <w:rPr/>
        <w:t xml:space="preserve"> </w:t>
      </w:r>
      <w:r>
        <w:rPr/>
        <w:t xml:space="preserve">with </w:t>
      </w:r>
      <w:r>
        <w:rPr/>
        <w:t xml:space="preserve">as</w:t>
      </w:r>
      <w:r>
        <w:rPr/>
        <w:t xml:space="preserve"> required </w:t>
      </w:r>
      <w:r>
        <w:rPr/>
        <w:t xml:space="preserve">in Chapter 5B-2, F.A.C.</w:t>
      </w:r>
    </w:p>
    <w:p>
      <w:pPr>
        <w:pStyle w:val="BodyText"/>
        <w:spacing/>
        <w:rPr/>
      </w:pPr>
      <w:r>
        <w:rPr/>
        <w:tab/>
        <w:t xml:space="preserve"/>
      </w:r>
      <w:r>
        <w:rPr>
          <w:b/>
          <w:bCs/>
        </w:rPr>
        <w:t xml:space="preserve">580-</w:t>
      </w:r>
      <w:r>
        <w:rPr>
          <w:b/>
          <w:bCs/>
        </w:rPr>
        <w:t xml:space="preserve">2</w:t>
      </w:r>
      <w:r>
        <w:rPr>
          <w:b/>
          <w:bCs/>
        </w:rPr>
        <w:t xml:space="preserve">.</w:t>
      </w:r>
      <w:r>
        <w:rPr>
          <w:b/>
          <w:bCs/>
        </w:rPr>
        <w:t xml:space="preserve">3</w:t>
      </w:r>
      <w:r>
        <w:rPr>
          <w:b/>
          <w:bCs/>
        </w:rPr>
        <w:t xml:space="preserve"> Water:</w:t>
      </w:r>
      <w:r>
        <w:rPr/>
        <w:t xml:space="preserve"> Meet the requirements of Section 983.</w:t>
      </w:r>
    </w:p>
    <w:p>
      <w:pPr>
        <w:pStyle w:val="BodyText"/>
        <w:spacing/>
        <w:rPr/>
      </w:pPr>
      <w:r>
        <w:rPr/>
        <w:tab/>
        <w:t xml:space="preserve"/>
      </w:r>
      <w:r>
        <w:rPr>
          <w:b/>
          <w:bCs/>
        </w:rPr>
        <w:t xml:space="preserve">580-</w:t>
      </w:r>
      <w:r>
        <w:rPr>
          <w:b/>
          <w:bCs/>
        </w:rPr>
        <w:t xml:space="preserve">2</w:t>
      </w:r>
      <w:r>
        <w:rPr>
          <w:b/>
          <w:bCs/>
        </w:rPr>
        <w:t xml:space="preserve">.</w:t>
      </w:r>
      <w:r>
        <w:rPr>
          <w:b/>
          <w:bCs/>
        </w:rPr>
        <w:t xml:space="preserve">4</w:t>
      </w:r>
      <w:r>
        <w:rPr>
          <w:b/>
          <w:bCs/>
        </w:rPr>
        <w:t xml:space="preserve"> Mulch:</w:t>
      </w:r>
      <w:r>
        <w:rPr>
          <w:bCs/>
        </w:rPr>
        <w:t xml:space="preserve"> </w:t>
      </w:r>
      <w:r>
        <w:rPr/>
        <w:t xml:space="preserve">Provide and install mulch in accordance with the Contract</w:t>
      </w:r>
      <w:r>
        <w:rPr/>
        <w:t xml:space="preserve"> Documents</w:t>
      </w:r>
      <w:r>
        <w:rPr/>
        <w:t xml:space="preserve">.</w:t>
      </w:r>
    </w:p>
    <w:p>
      <w:pPr>
        <w:pStyle w:val="BodyText"/>
        <w:spacing/>
        <w:rPr>
          <w:szCs w:val="24"/>
        </w:rPr>
      </w:pPr>
      <w:r>
        <w:rPr>
          <w:szCs w:val="24"/>
        </w:rPr>
        <w:tab/>
        <w:t xml:space="preserve"/>
      </w:r>
      <w:r>
        <w:rPr>
          <w:b/>
          <w:szCs w:val="24"/>
        </w:rPr>
        <w:t xml:space="preserve">580-2.5 Soil</w:t>
      </w:r>
      <w:r>
        <w:rPr>
          <w:b/>
          <w:szCs w:val="24"/>
        </w:rPr>
        <w:t xml:space="preserve"> Enhancement</w:t>
      </w:r>
      <w:r>
        <w:rPr>
          <w:b/>
          <w:szCs w:val="24"/>
        </w:rPr>
        <w:t xml:space="preserve">:</w:t>
      </w:r>
    </w:p>
    <w:p>
      <w:pPr>
        <w:pStyle w:val="BodyText"/>
        <w:spacing/>
        <w:rPr/>
      </w:pPr>
      <w:r>
        <w:rPr>
          <w:b/>
        </w:rPr>
        <w:tab/>
        <w:t xml:space="preserve"/>
      </w:r>
      <w:r>
        <w:rPr>
          <w:b/>
        </w:rPr>
        <w:tab/>
        <w:t xml:space="preserve"/>
      </w:r>
      <w:r>
        <w:rPr/>
        <w:t xml:space="preserve">Enhance soil in accordance with the Contract Documents.</w:t>
      </w:r>
    </w:p>
    <w:p>
      <w:pPr>
        <w:pStyle w:val="Article"/>
        <w:spacing/>
        <w:rPr/>
      </w:pPr>
      <w:r>
        <w:rPr/>
        <w:t xml:space="preserve">580-3</w:t>
      </w:r>
      <w:r>
        <w:rPr>
          <w:color w:val="000000"/>
        </w:rPr>
        <w:t xml:space="preserve"> </w:t>
      </w:r>
      <w:r>
        <w:rPr/>
        <w:t xml:space="preserve">Worksite Landscape Supervisor.</w:t>
      </w:r>
    </w:p>
    <w:p>
      <w:pPr>
        <w:pStyle w:val="BodyText"/>
        <w:spacing/>
        <w:rPr/>
      </w:pPr>
      <w:r>
        <w:rPr>
          <w:b/>
          <w:bCs/>
          <w:szCs w:val="24"/>
        </w:rPr>
        <w:tab/>
        <w:t xml:space="preserve"/>
      </w:r>
      <w:r>
        <w:rPr>
          <w:szCs w:val="24"/>
        </w:rPr>
        <w:t xml:space="preserve">Provide a Worksite Landscape Supervisor to directly oversee all landscape installation. The Worksite Landscape Supervisor must be a Certified Landscape Technician or Certified Landscape Contractor in accordance with the Florida Nursery Growers and Landscape Association (FNGLA) </w:t>
      </w:r>
      <w:r>
        <w:rPr>
          <w:color w:val="000000"/>
          <w:szCs w:val="24"/>
        </w:rPr>
        <w:t xml:space="preserve">or a State of Florida Registered Landscape Architect. Provide verification at the preconstruction meeting.</w:t>
      </w:r>
    </w:p>
    <w:p>
      <w:pPr>
        <w:pStyle w:val="Article"/>
        <w:spacing/>
        <w:rPr/>
      </w:pPr>
      <w:r>
        <w:rPr/>
        <w:t xml:space="preserve">580-4</w:t>
      </w:r>
      <w:r>
        <w:rPr/>
        <w:t xml:space="preserve"> </w:t>
      </w:r>
      <w:r>
        <w:rPr/>
        <w:t xml:space="preserve">Installation.</w:t>
      </w:r>
    </w:p>
    <w:p>
      <w:pPr>
        <w:pStyle w:val="BodyText"/>
        <w:spacing/>
        <w:rPr>
          <w:bCs/>
        </w:rPr>
      </w:pPr>
      <w:r>
        <w:rPr>
          <w:bCs/>
        </w:rPr>
        <w:tab/>
        <w:t xml:space="preserve"/>
      </w:r>
      <w:r>
        <w:rPr>
          <w:b/>
          <w:bCs/>
        </w:rPr>
        <w:t xml:space="preserve">580-4.1 Installation Plan:</w:t>
      </w:r>
      <w:r>
        <w:rPr>
          <w:bCs/>
        </w:rPr>
        <w:t xml:space="preserve"> At the preconstruction meeting, provide an installation plan for review and comment. </w:t>
      </w:r>
      <w:r>
        <w:rPr>
          <w:bCs/>
        </w:rPr>
        <w:t xml:space="preserve">D</w:t>
      </w:r>
      <w:r>
        <w:rPr>
          <w:bCs/>
        </w:rPr>
        <w:t xml:space="preserve">escribe the methods, activities, materials, and schedule to achieve installation as described in this Section.</w:t>
      </w:r>
      <w:r>
        <w:rPr>
          <w:bCs/>
        </w:rPr>
        <w:t xml:space="preserve"> </w:t>
      </w:r>
      <w:r>
        <w:rPr>
          <w:bCs/>
        </w:rPr>
        <w:t xml:space="preserve">Include a schedule for monthly inspections and reports described in 580-4.9.</w:t>
      </w:r>
      <w:r>
        <w:rPr>
          <w:bCs/>
        </w:rPr>
        <w:t xml:space="preserve"> Include a Schedule of Values for each item on the Tabulation of Quantities/Plant List. </w:t>
      </w:r>
      <w:r>
        <w:rPr>
          <w:szCs w:val="24"/>
        </w:rPr>
        <w:t xml:space="preserve">Begin </w:t>
      </w:r>
      <w:r>
        <w:rPr>
          <w:szCs w:val="24"/>
        </w:rPr>
        <w:t xml:space="preserve">i</w:t>
      </w:r>
      <w:r>
        <w:rPr/>
        <w:t xml:space="preserve">nstallation after Installation Plan is accepted by Engineer.</w:t>
      </w:r>
    </w:p>
    <w:p>
      <w:pPr>
        <w:pStyle w:val="BodyText"/>
        <w:spacing/>
        <w:rPr/>
      </w:pPr>
      <w:r>
        <w:rPr>
          <w:b/>
          <w:bCs/>
        </w:rPr>
        <w:tab/>
        <w:t xml:space="preserve"/>
      </w:r>
      <w:r>
        <w:rPr>
          <w:b/>
          <w:bCs/>
        </w:rPr>
        <w:t xml:space="preserve">580-</w:t>
      </w:r>
      <w:r>
        <w:rPr>
          <w:b/>
          <w:bCs/>
        </w:rPr>
        <w:t xml:space="preserve">4</w:t>
      </w:r>
      <w:r>
        <w:rPr>
          <w:b/>
          <w:bCs/>
        </w:rPr>
        <w:t xml:space="preserve">.</w:t>
      </w:r>
      <w:r>
        <w:rPr>
          <w:b/>
          <w:bCs/>
        </w:rPr>
        <w:t xml:space="preserve">2</w:t>
      </w:r>
      <w:r>
        <w:rPr>
          <w:b/>
          <w:bCs/>
        </w:rPr>
        <w:t xml:space="preserve"> Delivery:</w:t>
      </w:r>
      <w:r>
        <w:rPr/>
        <w:t xml:space="preserve"> All materials must be available for inspection before installation.</w:t>
      </w:r>
    </w:p>
    <w:p>
      <w:pPr>
        <w:pStyle w:val="BodyText"/>
        <w:spacing/>
        <w:rPr/>
      </w:pPr>
      <w:r>
        <w:rPr/>
        <w:tab/>
        <w:t xml:space="preserve"/>
      </w:r>
      <w:r>
        <w:rPr>
          <w:b/>
          <w:bCs/>
        </w:rPr>
        <w:t xml:space="preserve">580-</w:t>
      </w:r>
      <w:r>
        <w:rPr>
          <w:b/>
          <w:bCs/>
        </w:rPr>
        <w:t xml:space="preserve">4.</w:t>
      </w:r>
      <w:r>
        <w:rPr>
          <w:b/>
          <w:bCs/>
        </w:rPr>
        <w:t xml:space="preserve">3</w:t>
      </w:r>
      <w:r>
        <w:rPr>
          <w:b/>
          <w:bCs/>
        </w:rPr>
        <w:t xml:space="preserve"> Layout: </w:t>
      </w:r>
      <w:r>
        <w:rPr>
          <w:bCs/>
        </w:rPr>
        <w:t xml:space="preserve">The locations of plants as shown in the Contract Documents are approximate. At no cost to the Department, adjust final locations when directed by the Engineer to accommodate unforeseen field conditions or to comply with safety setbacks and requirements. </w:t>
      </w:r>
      <w:r>
        <w:rPr/>
        <w:t xml:space="preserve">Mark proposed mowing limits, planting beds and individual locations of trees and palms as shown in the Contract Documents for the Engineer’s review, prior to excavation or planting.</w:t>
      </w:r>
    </w:p>
    <w:p>
      <w:pPr>
        <w:pStyle w:val="BodyText"/>
        <w:spacing/>
        <w:rPr/>
      </w:pPr>
      <w:r>
        <w:rPr/>
        <w:tab/>
        <w:t xml:space="preserve"/>
      </w:r>
      <w:r>
        <w:rPr/>
        <w:tab/>
        <w:t xml:space="preserve"/>
      </w:r>
      <w:r>
        <w:rPr/>
        <w:t xml:space="preserve">Make no changes to the layout, or any variations of materials from the Contract Documents without the Engineer’s approval.</w:t>
      </w:r>
    </w:p>
    <w:p>
      <w:pPr>
        <w:pStyle w:val="BodyText"/>
        <w:spacing/>
        <w:rPr/>
      </w:pPr>
      <w:r>
        <w:rPr/>
        <w:tab/>
        <w:t xml:space="preserve"/>
      </w:r>
      <w:r>
        <w:rPr>
          <w:b/>
          <w:bCs/>
        </w:rPr>
        <w:t xml:space="preserve">580-</w:t>
      </w:r>
      <w:r>
        <w:rPr>
          <w:b/>
          <w:bCs/>
        </w:rPr>
        <w:t xml:space="preserve">4</w:t>
      </w:r>
      <w:r>
        <w:rPr>
          <w:b/>
          <w:bCs/>
        </w:rPr>
        <w:t xml:space="preserve">.</w:t>
      </w:r>
      <w:r>
        <w:rPr>
          <w:b/>
          <w:bCs/>
        </w:rPr>
        <w:t xml:space="preserve">4</w:t>
      </w:r>
      <w:r>
        <w:rPr>
          <w:b/>
          <w:bCs/>
        </w:rPr>
        <w:t xml:space="preserve"> Soil Drainage:</w:t>
      </w:r>
      <w:r>
        <w:rPr/>
        <w:t xml:space="preserve"> </w:t>
      </w:r>
      <w:r>
        <w:rPr/>
        <w:t xml:space="preserve">P</w:t>
      </w:r>
      <w:r>
        <w:rPr/>
        <w:t xml:space="preserve">lanting holes and beds must drain sufficiently. </w:t>
      </w:r>
      <w:r>
        <w:rPr/>
        <w:t xml:space="preserve">N</w:t>
      </w:r>
      <w:r>
        <w:rPr/>
        <w:t xml:space="preserve">otify the Engineer of drainage or percolation problems before plant installation.</w:t>
      </w:r>
    </w:p>
    <w:p>
      <w:pPr>
        <w:pStyle w:val="BodyText"/>
        <w:spacing/>
        <w:rPr/>
      </w:pPr>
      <w:r>
        <w:rPr/>
        <w:tab/>
        <w:t xml:space="preserve"/>
      </w:r>
      <w:r>
        <w:rPr>
          <w:b/>
          <w:bCs/>
        </w:rPr>
        <w:t xml:space="preserve">580-</w:t>
      </w:r>
      <w:r>
        <w:rPr>
          <w:b/>
          <w:bCs/>
        </w:rPr>
        <w:t xml:space="preserve">4</w:t>
      </w:r>
      <w:r>
        <w:rPr>
          <w:b/>
          <w:bCs/>
        </w:rPr>
        <w:t xml:space="preserve">.</w:t>
      </w:r>
      <w:r>
        <w:rPr>
          <w:b/>
          <w:bCs/>
        </w:rPr>
        <w:t xml:space="preserve">5</w:t>
      </w:r>
      <w:r>
        <w:rPr>
          <w:b/>
          <w:bCs/>
        </w:rPr>
        <w:t xml:space="preserve"> </w:t>
      </w:r>
      <w:r>
        <w:rPr>
          <w:b/>
          <w:bCs/>
        </w:rPr>
        <w:t xml:space="preserve">Installation</w:t>
      </w:r>
      <w:r>
        <w:rPr>
          <w:b/>
          <w:bCs/>
        </w:rPr>
        <w:t xml:space="preserve">:</w:t>
      </w:r>
      <w:r>
        <w:rPr/>
        <w:t xml:space="preserve"> Meet the requirements of the </w:t>
      </w:r>
      <w:r>
        <w:rPr/>
        <w:t xml:space="preserve">Contract Documents</w:t>
      </w:r>
      <w:r>
        <w:rPr/>
        <w:t xml:space="preserve">.</w:t>
      </w:r>
    </w:p>
    <w:p>
      <w:pPr>
        <w:widowControl w:val="true"/>
        <w:tabs>
          <w:tab w:val="left" w:pos="720"/>
        </w:tabs>
        <w:autoSpaceDE w:val="true"/>
        <w:autoSpaceDN w:val="true"/>
        <w:adjustRightInd w:val="true"/>
        <w:spacing/>
        <w:rPr>
          <w:szCs w:val="20"/>
        </w:rPr>
      </w:pPr>
      <w:r>
        <w:rPr>
          <w:szCs w:val="20"/>
        </w:rPr>
        <w:tab/>
        <w:t xml:space="preserve"/>
      </w:r>
      <w:r>
        <w:rPr>
          <w:b/>
          <w:szCs w:val="20"/>
        </w:rPr>
        <w:t xml:space="preserve">580-4.6 Maintenance:</w:t>
      </w:r>
      <w:r>
        <w:rPr>
          <w:szCs w:val="20"/>
        </w:rPr>
        <w:t xml:space="preserve"> Maintain plant material to the equivalent visible structural, quality and health characteristics </w:t>
      </w:r>
      <w:r>
        <w:rPr>
          <w:szCs w:val="20"/>
        </w:rPr>
        <w:t xml:space="preserve">per the Contract Documents</w:t>
      </w:r>
      <w:r>
        <w:rPr>
          <w:szCs w:val="20"/>
        </w:rPr>
        <w:t xml:space="preserve">.</w:t>
      </w:r>
    </w:p>
    <w:p>
      <w:pPr>
        <w:pStyle w:val="BodyText"/>
        <w:spacing/>
        <w:rPr>
          <w:szCs w:val="24"/>
        </w:rPr>
      </w:pPr>
      <w:r>
        <w:rPr>
          <w:szCs w:val="24"/>
        </w:rPr>
        <w:tab/>
        <w:t xml:space="preserve"/>
      </w:r>
      <w:r>
        <w:rPr>
          <w:b/>
          <w:szCs w:val="24"/>
        </w:rPr>
        <w:t xml:space="preserve">580-4.7 Site Repair and Restoration:</w:t>
      </w:r>
      <w:r>
        <w:rPr>
          <w:szCs w:val="24"/>
        </w:rPr>
        <w:t xml:space="preserve"> Repair and restore existing areas disturbed by installation or maintenance activities. Where new turf is required to restore and repair disturbed areas, meet the requirements of Section 570.</w:t>
      </w:r>
    </w:p>
    <w:p>
      <w:pPr>
        <w:pStyle w:val="BodyText"/>
        <w:spacing/>
        <w:rPr/>
      </w:pPr>
      <w:r>
        <w:rPr>
          <w:szCs w:val="24"/>
        </w:rPr>
        <w:tab/>
        <w:t xml:space="preserve"/>
      </w:r>
      <w:r>
        <w:rPr>
          <w:b/>
        </w:rPr>
        <w:t xml:space="preserve">580-4</w:t>
      </w:r>
      <w:r>
        <w:rPr>
          <w:b/>
        </w:rPr>
        <w:t xml:space="preserve">.8</w:t>
      </w:r>
      <w:r>
        <w:rPr>
          <w:b/>
        </w:rPr>
        <w:t xml:space="preserve"> Disposal of Surplus Materials and Debris</w:t>
      </w:r>
      <w:r>
        <w:rPr>
          <w:b/>
        </w:rPr>
        <w:t xml:space="preserve">: </w:t>
      </w:r>
      <w:r>
        <w:rPr/>
        <w:t xml:space="preserve">Remove from the jobsite any surplus material unless otherwise directed by the Engineer. Surplus is defined as material not needed after installation of landscaping per Contract Documents. Upon commencement of landscaping installation, remove daily all debris from the landscape locations described in the Contract Documents.</w:t>
      </w:r>
    </w:p>
    <w:p>
      <w:pPr>
        <w:pStyle w:val="BodyText"/>
        <w:spacing/>
        <w:rPr/>
      </w:pPr>
      <w:bookmarkStart w:id="3" w:name="_Hlk29474974"/>
      <w:r>
        <w:rPr>
          <w:b/>
          <w:szCs w:val="24"/>
        </w:rPr>
        <w:tab/>
        <w:t xml:space="preserve"/>
      </w:r>
      <w:r>
        <w:rPr>
          <w:b/>
          <w:szCs w:val="24"/>
        </w:rPr>
        <w:t xml:space="preserve">580-</w:t>
      </w:r>
      <w:r>
        <w:rPr>
          <w:b/>
          <w:szCs w:val="24"/>
        </w:rPr>
        <w:t xml:space="preserve">4</w:t>
      </w:r>
      <w:r>
        <w:rPr>
          <w:b/>
          <w:szCs w:val="24"/>
        </w:rPr>
        <w:t xml:space="preserve">.</w:t>
      </w:r>
      <w:r>
        <w:rPr>
          <w:b/>
          <w:szCs w:val="24"/>
        </w:rPr>
        <w:t xml:space="preserve">9</w:t>
      </w:r>
      <w:r>
        <w:rPr>
          <w:b/>
          <w:szCs w:val="24"/>
        </w:rPr>
        <w:t xml:space="preserve"> Reporting:</w:t>
      </w:r>
      <w:r>
        <w:rPr>
          <w:szCs w:val="24"/>
        </w:rPr>
        <w:t xml:space="preserve"> Provide a written monthly report to the Engineer detailing the condition of the installed landscape, to include at a minimum, the project information, installation date, inspection dates, general condition of the plantings, and the watering and fertilization schedule.</w:t>
      </w:r>
      <w:bookmarkEnd w:id="3"/>
    </w:p>
    <w:p>
      <w:pPr>
        <w:pStyle w:val="Article"/>
        <w:spacing/>
        <w:rPr>
          <w:bCs/>
        </w:rPr>
      </w:pPr>
      <w:r>
        <w:rPr/>
        <w:t xml:space="preserve">580-</w:t>
      </w:r>
      <w:r>
        <w:rPr/>
        <w:t xml:space="preserve">5</w:t>
      </w:r>
      <w:r>
        <w:rPr/>
        <w:t xml:space="preserve"> </w:t>
      </w:r>
      <w:r>
        <w:rPr/>
        <w:t xml:space="preserve">Method of Measurement.</w:t>
      </w:r>
    </w:p>
    <w:p>
      <w:pPr>
        <w:pStyle w:val="BodyText"/>
        <w:spacing/>
        <w:rPr/>
      </w:pPr>
      <w:r>
        <w:rPr/>
        <w:tab/>
        <w:t xml:space="preserve"/>
      </w:r>
      <w:r>
        <w:rPr/>
        <w:t xml:space="preserve">The quantities to be paid for will be the items shown in the Contract Documents, completed and accepted.</w:t>
      </w:r>
    </w:p>
    <w:p>
      <w:pPr>
        <w:pStyle w:val="Article"/>
        <w:spacing/>
        <w:rPr/>
      </w:pPr>
      <w:r>
        <w:rPr/>
        <w:t xml:space="preserve">580-</w:t>
      </w:r>
      <w:r>
        <w:rPr/>
        <w:t xml:space="preserve">6</w:t>
      </w:r>
      <w:r>
        <w:rPr/>
        <w:t xml:space="preserve"> </w:t>
      </w:r>
      <w:r>
        <w:rPr/>
        <w:t xml:space="preserve">Basis of Payment.</w:t>
      </w:r>
    </w:p>
    <w:p>
      <w:pPr>
        <w:pStyle w:val="BodyText"/>
        <w:spacing/>
        <w:rPr/>
      </w:pPr>
      <w:r>
        <w:rPr/>
        <w:tab/>
        <w:t xml:space="preserve"/>
      </w:r>
      <w:r>
        <w:rPr/>
        <w:t xml:space="preserve">Price and payment will be full compensation for all work and materials specified in this Section.</w:t>
      </w:r>
    </w:p>
    <w:sectPr>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AFF" w:usb1="C0007843" w:usb2="00000009" w:usb3="00000000" w:csb0="000001FF" w:csb1="00000000"/>
  </w:font>
  <w:font w:name="Calibri">
    <w:charset w:val="0"/>
    <w:family w:val="swiss"/>
    <w:pitch w:val="variable"/>
    <w:sig w:usb0="E0002AFF" w:usb1="4000ACFF" w:usb2="00000001" w:usb3="00000000" w:csb0="000001FF" w:csb1="00000000"/>
  </w:font>
  <w:font w:name="Arial">
    <w:charset w:val="0"/>
    <w:family w:val="swiss"/>
    <w:pitch w:val="variable"/>
    <w:sig w:usb0="E0002AFF" w:usb1="C0007843" w:usb2="00000009" w:usb3="00000000" w:csb0="000001FF" w:csb1="00000000"/>
  </w:font>
  <w:font w:name="Goudy Old Style">
    <w:charset w:val="0"/>
    <w:family w:val="roman"/>
    <w:pitch w:val="variable"/>
    <w:sig w:usb0="00000003" w:usb1="00000000" w:usb2="00000000" w:usb3="00000000" w:csb0="00000001" w:csb1="00000000"/>
  </w:font>
  <w:font w:name="Tahoma">
    <w:charset w:val="0"/>
    <w:family w:val="swiss"/>
    <w:pitch w:val="variable"/>
    <w:sig w:usb0="E1002EFF" w:usb1="C000605B" w:usb2="00000029" w:usb3="00000000" w:csb0="000101FF" w:csb1="00000000"/>
  </w:font>
  <w:font w:name="Calibri Light">
    <w:charset w:val="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1">
    <w:nsid w:val="2FDE1698"/>
    <w:lvl w:ilvl="0">
      <w:start w:val="1"/>
      <w:numFmt w:val="upperRoman"/>
      <w:suff w:val="tab"/>
      <w:lvlText w:val="%1."/>
      <w:pPr>
        <w:tabs>
          <w:tab w:val="num" w:pos="720"/>
        </w:tabs>
        <w:spacing/>
        <w:ind w:left="360" w:hanging="360"/>
      </w:pPr>
      <w:rPr>
        <w:rFonts w:hint="default"/>
      </w:rPr>
    </w:lvl>
    <w:lvl w:ilvl="1">
      <w:start w:val="1"/>
      <w:numFmt w:val="decimal"/>
      <w:suff w:val="tab"/>
      <w:lvlText w:val="%1.%2."/>
      <w:pPr>
        <w:tabs>
          <w:tab w:val="num" w:pos="792"/>
        </w:tabs>
        <w:spacing/>
        <w:ind w:left="792" w:hanging="432"/>
      </w:pPr>
      <w:rPr>
        <w:rFonts w:hint="default"/>
      </w:rPr>
    </w:lvl>
    <w:lvl w:ilvl="2">
      <w:start w:val="1"/>
      <w:numFmt w:val="upperLetter"/>
      <w:pStyle w:val="Heading3"/>
      <w:suff w:val="tab"/>
      <w:lvlText w:val="%1.%2.%3."/>
      <w:pPr>
        <w:tabs>
          <w:tab w:val="num" w:pos="1440"/>
        </w:tabs>
        <w:spacing/>
        <w:ind w:left="1224" w:hanging="504"/>
      </w:pPr>
      <w:rPr>
        <w:rFonts w:hint="default"/>
      </w:rPr>
    </w:lvl>
    <w:lvl w:ilvl="3">
      <w:start w:val="1"/>
      <w:numFmt w:val="lowerRoman"/>
      <w:suff w:val="tab"/>
      <w:lvlText w:val="%1.%2.%3.%4."/>
      <w:pPr>
        <w:tabs>
          <w:tab w:val="num" w:pos="2160"/>
        </w:tabs>
        <w:spacing/>
        <w:ind w:left="1728" w:hanging="648"/>
      </w:pPr>
      <w:rPr>
        <w:rFonts w:hint="default"/>
      </w:rPr>
    </w:lvl>
    <w:lvl w:ilvl="4">
      <w:start w:val="1"/>
      <w:numFmt w:val="decimal"/>
      <w:suff w:val="tab"/>
      <w:lvlText w:val="%1.%2.%3.%4.%5."/>
      <w:pPr>
        <w:tabs>
          <w:tab w:val="num" w:pos="2520"/>
        </w:tabs>
        <w:spacing/>
        <w:ind w:left="2232" w:hanging="792"/>
      </w:pPr>
      <w:rPr>
        <w:rFonts w:hint="default"/>
      </w:rPr>
    </w:lvl>
    <w:lvl w:ilvl="5">
      <w:start w:val="1"/>
      <w:numFmt w:val="decimal"/>
      <w:suff w:val="tab"/>
      <w:lvlText w:val="%1.%2.%3.%4.%5.%6."/>
      <w:pPr>
        <w:tabs>
          <w:tab w:val="num" w:pos="2880"/>
        </w:tabs>
        <w:spacing/>
        <w:ind w:left="2736" w:hanging="936"/>
      </w:pPr>
      <w:rPr>
        <w:rFonts w:hint="default"/>
      </w:rPr>
    </w:lvl>
    <w:lvl w:ilvl="6">
      <w:start w:val="1"/>
      <w:numFmt w:val="decimal"/>
      <w:suff w:val="tab"/>
      <w:lvlText w:val="%1.%2.%3.%4.%5.%6.%7."/>
      <w:pPr>
        <w:tabs>
          <w:tab w:val="num" w:pos="3600"/>
        </w:tabs>
        <w:spacing/>
        <w:ind w:left="3240" w:hanging="1080"/>
      </w:pPr>
      <w:rPr>
        <w:rFonts w:hint="default"/>
      </w:rPr>
    </w:lvl>
    <w:lvl w:ilvl="7">
      <w:start w:val="1"/>
      <w:numFmt w:val="decimal"/>
      <w:suff w:val="tab"/>
      <w:lvlText w:val="%1.%2.%3.%4.%5.%6.%7.%8."/>
      <w:pPr>
        <w:tabs>
          <w:tab w:val="num" w:pos="3960"/>
        </w:tabs>
        <w:spacing/>
        <w:ind w:left="3744" w:hanging="1224"/>
      </w:pPr>
      <w:rPr>
        <w:rFonts w:hint="default"/>
      </w:rPr>
    </w:lvl>
    <w:lvl w:ilvl="8">
      <w:start w:val="1"/>
      <w:numFmt w:val="decimal"/>
      <w:suff w:val="tab"/>
      <w:lvlText w:val="%1.%2.%3.%4.%5.%6.%7.%8.%9."/>
      <w:pPr>
        <w:tabs>
          <w:tab w:val="num" w:pos="4680"/>
        </w:tabs>
        <w:spacing/>
        <w:ind w:left="4320" w:hanging="1440"/>
      </w:pPr>
      <w:rPr>
        <w:rFonts w:hint="default"/>
      </w:rPr>
    </w:lvl>
  </w:abstractNum>
  <w:abstractNum w:abstractNumId="2">
    <w:nsid w:val="3B0E581C"/>
    <w:lvl w:ilvl="0">
      <w:start w:val="1"/>
      <w:numFmt w:val="decimal"/>
      <w:pStyle w:val="Section8"/>
      <w:suff w:val="tab"/>
      <w:lvlText w:val="8-13.%1"/>
      <w:pPr>
        <w:tabs>
          <w:tab w:val="num" w:pos="1440"/>
        </w:tabs>
        <w:spacing/>
        <w:ind w:left="0" w:firstLine="72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
    <w:nsid w:val="47321040"/>
    <w:lvl w:ilvl="0">
      <w:start w:val="1"/>
      <w:numFmt w:val="decimal"/>
      <w:pStyle w:val="Section80"/>
      <w:suff w:val="tab"/>
      <w:lvlText w:val="8-13.%1"/>
      <w:pPr>
        <w:tabs>
          <w:tab w:val="num" w:pos="216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53582DB7"/>
    <w:lvl w:ilvl="0">
      <w:start w:val="6"/>
      <w:numFmt w:val="decimal"/>
      <w:pStyle w:val="Section102"/>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5">
    <w:nsid w:val="684D2E1E"/>
    <w:lvl w:ilvl="0">
      <w:start w:val="6"/>
      <w:numFmt w:val="decimal"/>
      <w:pStyle w:val="Section1020"/>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linkStyles/>
  <w:trackRevisions/>
  <w:doNotTrackMoves xmlns:w="http://schemas.openxmlformats.org/wordprocessingml/2006/main"/>
  <w:defaultTabStop w:val="720"/>
  <w:characterSpacingControl xmlns:w="http://schemas.openxmlformats.org/wordprocessingml/2006/main" w:val="doNotCompress"/>
  <w:compat>
    <w:compatSetting w:name="compatibilityMode" w:uri="http://schemas.microsoft.com/office/word" w:val="15"/>
  </w:compat>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US" w:eastAsia="en-US" w:bidi="ar-SA"/>
      </w:rPr>
    </w:rPrDefault>
    <w:pPrDefault>
      <w:pPr>
        <w:spacing/>
      </w:pPr>
    </w:pPrDefault>
  </w:docDefaults>
  <w:style w:type="table" w:styleId="TableGrid">
    <w:name w:val="Table Grid"/>
    <w:basedOn w:val="TableNorma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l" w:default="1">
    <w:name w:val="Normal"/>
    <w:qFormat/>
    <w:pPr>
      <w:widowControl w:val="false"/>
      <w:autoSpaceDE w:val="false"/>
      <w:autoSpaceDN w:val="false"/>
      <w:adjustRightInd w:val="false"/>
      <w:spacing/>
    </w:pPr>
    <w:rPr>
      <w:rFonts w:ascii="Times New Roman" w:hAnsi="Times New Roman" w:eastAsia="Times New Roman" w:cs="Times New Roman"/>
      <w:sz w:val="24"/>
      <w:szCs w:val="24"/>
    </w:rPr>
  </w:style>
  <w:style w:type="paragraph" w:styleId="Heading1">
    <w:name w:val="Heading 1"/>
    <w:basedOn w:val="Heading2"/>
    <w:next w:val="Normal"/>
    <w:link w:val="Heading1Char"/>
    <w:qFormat/>
    <w:pPr>
      <w:spacing/>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3">
    <w:name w:val="Heading 3"/>
    <w:basedOn w:val="Normal"/>
    <w:next w:val="Normal"/>
    <w:link w:val="Heading3Char"/>
    <w:qFormat/>
    <w:numPr>
      <w:ilvl w:val="2"/>
      <w:numId w:val="2"/>
    </w:numPr>
    <w:pPr>
      <w:keepNext/>
      <w:numPr>
        <w:ilvl w:val="2"/>
        <w:numId w:val="2"/>
      </w:numPr>
      <w:spacing w:before="240" w:after="60"/>
      <w:outlineLvl w:val="2"/>
    </w:pPr>
    <w:rPr>
      <w:rFonts w:cs="Arial"/>
      <w:bCs/>
      <w:szCs w:val="26"/>
    </w:rPr>
  </w:style>
  <w:style w:type="paragraph" w:styleId="Heading4">
    <w:name w:val="Heading 4"/>
    <w:basedOn w:val="Normal"/>
    <w:next w:val="Normal"/>
    <w:link w:val="Heading4Char"/>
    <w:qFormat/>
    <w:pPr>
      <w:keepNext/>
      <w:spacing/>
      <w:jc w:val="center"/>
      <w:outlineLvl w:val="3"/>
    </w:pPr>
    <w:rPr>
      <w:rFonts w:ascii="Goudy Old Style" w:hAnsi="Goudy Old Style" w:eastAsia="Goudy Old Style" w:cs="Goudy Old Style"/>
      <w:sz w:val="36"/>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eastAsia="Arial" w:cs="Arial"/>
      <w:szCs w:val="22"/>
    </w:rPr>
  </w:style>
  <w:style w:type="character" w:styleId="DefaultParagraphFont" w:default="1">
    <w:name w:val="Default Paragraph Font"/>
    <w:semiHidden/>
    <w:rPr/>
  </w:style>
  <w:style w:type="table" w:styleId="TableNormal" w:default="1">
    <w:name w:val="Normal Table"/>
    <w:semiHidden/>
    <w:unhideWhenUsed/>
    <w:qFormat/>
    <w:tblPr>
      <w:tblInd w:w="0" w:type="dxa"/>
      <w:tblCellMar>
        <w:top w:w="0" w:type="dxa"/>
        <w:left w:w="108" w:type="dxa"/>
        <w:bottom w:w="0" w:type="dxa"/>
        <w:right w:w="108" w:type="dxa"/>
      </w:tblCellMar>
    </w:tblPr>
  </w:style>
  <w:style w:type="character" w:styleId="NoList">
    <w:name w:val="No List"/>
    <w:basedOn w:val="DefaultParagraphFont"/>
    <w:semiHidden/>
    <w:rPr/>
  </w:style>
  <w:style w:type="paragraph" w:styleId="BodyText">
    <w:name w:val="Body Text"/>
    <w:next w:val="Normal"/>
    <w:link w:val="BodyTextChar"/>
    <w:pPr>
      <w:tabs>
        <w:tab w:val="left" w:pos="720"/>
      </w:tabs>
      <w:spacing/>
    </w:pPr>
    <w:rPr>
      <w:rFonts w:ascii="Times New Roman" w:hAnsi="Times New Roman" w:eastAsia="Times New Roman" w:cs="Times New Roman"/>
      <w:sz w:val="24"/>
    </w:rPr>
  </w:style>
  <w:style w:type="character" w:styleId="BodyTextChar" w:customStyle="1">
    <w:name w:val="Body Text Char"/>
    <w:basedOn w:val="DefaultParagraphFont"/>
    <w:link w:val="BodyText"/>
    <w:rPr>
      <w:rFonts w:ascii="Times New Roman" w:hAnsi="Times New Roman" w:eastAsia="Times New Roman" w:cs="Times New Roman"/>
      <w:sz w:val="24"/>
    </w:rPr>
  </w:style>
  <w:style w:type="character" w:styleId="Heading1Char" w:customStyle="1">
    <w:name w:val="Heading 1 Char"/>
    <w:basedOn w:val="DefaultParagraphFont"/>
    <w:link w:val="Heading1"/>
    <w:rPr>
      <w:rFonts w:ascii="Times New Roman" w:hAnsi="Times New Roman" w:eastAsia="Times New Roman" w:cs="Arial"/>
      <w:b/>
      <w:iCs/>
      <w:caps/>
      <w:kern w:val="32"/>
      <w:sz w:val="96"/>
      <w:szCs w:val="32"/>
    </w:rPr>
  </w:style>
  <w:style w:type="character" w:styleId="Heading2Char" w:customStyle="1">
    <w:name w:val="Heading 2 Char"/>
    <w:basedOn w:val="DefaultParagraphFont"/>
    <w:link w:val="Heading2"/>
    <w:rPr>
      <w:rFonts w:ascii="Times New Roman" w:hAnsi="Times New Roman" w:eastAsia="Times New Roman" w:cs="Arial"/>
      <w:b/>
      <w:bCs/>
      <w:iCs/>
      <w:caps/>
      <w:sz w:val="24"/>
      <w:szCs w:val="28"/>
    </w:rPr>
  </w:style>
  <w:style w:type="character" w:styleId="Heading3Char" w:customStyle="1">
    <w:name w:val="Heading 3 Char"/>
    <w:basedOn w:val="DefaultParagraphFont"/>
    <w:link w:val="Heading3"/>
    <w:rPr>
      <w:rFonts w:ascii="Times New Roman" w:hAnsi="Times New Roman" w:eastAsia="Times New Roman" w:cs="Arial"/>
      <w:bCs/>
      <w:sz w:val="24"/>
      <w:szCs w:val="26"/>
    </w:rPr>
  </w:style>
  <w:style w:type="character" w:styleId="Heading8Char" w:customStyle="1">
    <w:name w:val="Heading 8 Char"/>
    <w:basedOn w:val="DefaultParagraphFont"/>
    <w:link w:val="Heading8"/>
    <w:rPr>
      <w:rFonts w:ascii="Times New Roman" w:hAnsi="Times New Roman" w:eastAsia="Times New Roman" w:cs="Times New Roman"/>
      <w:b/>
      <w:iCs/>
      <w:sz w:val="24"/>
    </w:rPr>
  </w:style>
  <w:style w:type="character" w:styleId="Heading9Char" w:customStyle="1">
    <w:name w:val="Heading 9 Char"/>
    <w:basedOn w:val="DefaultParagraphFont"/>
    <w:link w:val="Heading9"/>
    <w:rPr>
      <w:rFonts w:ascii="Arial" w:hAnsi="Arial" w:eastAsia="Times New Roman" w:cs="Arial"/>
      <w:b/>
      <w:sz w:val="24"/>
      <w:szCs w:val="22"/>
    </w:rPr>
  </w:style>
  <w:style w:type="paragraph" w:styleId="SectionHeading" w:customStyle="1">
    <w:name w:val="Section Heading"/>
    <w:next w:val="Article"/>
    <w:pPr>
      <w:keepNext/>
      <w:spacing w:before="120"/>
      <w:jc w:val="center"/>
    </w:pPr>
    <w:rPr>
      <w:rFonts w:ascii="Times New Roman" w:hAnsi="Times New Roman" w:eastAsia="Times New Roman" w:cs="Times New Roman"/>
      <w:b/>
      <w:caps/>
      <w:sz w:val="24"/>
    </w:rPr>
  </w:style>
  <w:style w:type="paragraph" w:styleId="Subarticle" w:customStyle="1">
    <w:name w:val="Subarticle"/>
    <w:pPr>
      <w:keepNext/>
      <w:spacing/>
      <w:ind w:firstLine="720"/>
    </w:pPr>
    <w:rPr>
      <w:rFonts w:ascii="Times New Roman" w:hAnsi="Times New Roman" w:eastAsia="Times New Roman" w:cs="Times New Roman"/>
      <w:b/>
      <w:sz w:val="24"/>
      <w:szCs w:val="24"/>
    </w:rPr>
  </w:style>
  <w:style w:type="paragraph" w:styleId="Article" w:customStyle="1">
    <w:name w:val="Article"/>
    <w:next w:val="BodyText"/>
    <w:link w:val="ArticleChar"/>
    <w:pPr>
      <w:keepNext/>
      <w:tabs>
        <w:tab w:val="left" w:pos="720"/>
      </w:tabs>
      <w:spacing w:before="240"/>
    </w:pPr>
    <w:rPr>
      <w:rFonts w:ascii="Times New Roman" w:hAnsi="Times New Roman" w:eastAsia="Times New Roman" w:cs="Times New Roman"/>
      <w:b/>
      <w:sz w:val="24"/>
    </w:rPr>
  </w:style>
  <w:style w:type="paragraph" w:styleId="LeadInSentence" w:customStyle="1">
    <w:name w:val="Lead In Sentence"/>
    <w:next w:val="BodyText"/>
    <w:pPr>
      <w:keepNext/>
      <w:spacing w:after="240"/>
      <w:ind w:firstLine="720"/>
    </w:pPr>
    <w:rPr>
      <w:rFonts w:ascii="Times New Roman" w:hAnsi="Times New Roman" w:eastAsia="Times New Roman" w:cs="Times New Roman"/>
      <w:sz w:val="24"/>
    </w:rPr>
  </w:style>
  <w:style w:type="paragraph" w:styleId="TOC2">
    <w:name w:val="TOC 2"/>
    <w:basedOn w:val="Normal"/>
    <w:next w:val="Normal"/>
    <w:semiHidden/>
    <w:pPr>
      <w:spacing/>
      <w:ind w:left="1080" w:right="1080" w:hanging="720"/>
    </w:pPr>
    <w:rPr/>
  </w:style>
  <w:style w:type="paragraph" w:styleId="Section8" w:customStyle="1">
    <w:name w:val="Section 8"/>
    <w:basedOn w:val="Heading8"/>
    <w:next w:val="Dates"/>
    <w:numPr>
      <w:ilvl w:val="0"/>
      <w:numId w:val="3"/>
    </w:numPr>
    <w:pPr>
      <w:keepLines/>
      <w:numPr>
        <w:ilvl w:val="0"/>
        <w:numId w:val="3"/>
      </w:numPr>
      <w:spacing w:before="0" w:after="0"/>
      <w:outlineLvl w:val="7"/>
    </w:pPr>
    <w:rPr>
      <w:szCs w:val="24"/>
    </w:rPr>
  </w:style>
  <w:style w:type="paragraph" w:styleId="Section1020" w:customStyle="1">
    <w:name w:val="Section 102"/>
    <w:basedOn w:val="Heading9"/>
    <w:numPr>
      <w:ilvl w:val="0"/>
      <w:numId w:val="6"/>
    </w:numPr>
    <w:pPr>
      <w:widowControl w:val="false"/>
      <w:numPr>
        <w:ilvl w:val="0"/>
        <w:numId w:val="6"/>
      </w:numPr>
      <w:tabs>
        <w:tab w:val="left" w:pos="720"/>
      </w:tabs>
      <w:autoSpaceDE w:val="false"/>
      <w:autoSpaceDN w:val="false"/>
      <w:adjustRightInd w:val="false"/>
      <w:spacing w:before="0" w:after="0"/>
      <w:outlineLvl w:val="8"/>
    </w:pPr>
    <w:rPr>
      <w:rFonts w:ascii="Times New Roman" w:hAnsi="Times New Roman" w:eastAsia="Times New Roman" w:cs="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spacing/>
      <w:ind w:left="360"/>
    </w:pPr>
    <w:rPr/>
  </w:style>
  <w:style w:type="paragraph" w:styleId="TOC4">
    <w:name w:val="TOC 4"/>
    <w:basedOn w:val="Normal"/>
    <w:next w:val="Normal"/>
    <w:semiHidden/>
    <w:pPr>
      <w:spacing/>
      <w:ind w:left="720"/>
    </w:pPr>
    <w:rPr/>
  </w:style>
  <w:style w:type="paragraph" w:styleId="TOC5">
    <w:name w:val="TOC 5"/>
    <w:basedOn w:val="Normal"/>
    <w:next w:val="Normal"/>
    <w:semiHidden/>
    <w:pPr>
      <w:spacing/>
      <w:ind w:left="960"/>
    </w:pPr>
    <w:rPr/>
  </w:style>
  <w:style w:type="paragraph" w:styleId="TOC6">
    <w:name w:val="TOC 6"/>
    <w:basedOn w:val="Normal"/>
    <w:next w:val="Normal"/>
    <w:semiHidden/>
    <w:pPr>
      <w:spacing/>
      <w:ind w:left="1200"/>
    </w:pPr>
    <w:rPr/>
  </w:style>
  <w:style w:type="paragraph" w:styleId="TOC7">
    <w:name w:val="TOC 7"/>
    <w:basedOn w:val="Normal"/>
    <w:next w:val="Normal"/>
    <w:semiHidden/>
    <w:pPr>
      <w:spacing/>
      <w:ind w:left="1440"/>
    </w:pPr>
    <w:rPr/>
  </w:style>
  <w:style w:type="paragraph" w:styleId="TOC8">
    <w:name w:val="TOC 8"/>
    <w:basedOn w:val="Normal"/>
    <w:next w:val="Normal"/>
    <w:semiHidden/>
    <w:pPr>
      <w:spacing/>
      <w:ind w:left="1680"/>
    </w:pPr>
    <w:rPr/>
  </w:style>
  <w:style w:type="paragraph" w:styleId="TOC9">
    <w:name w:val="TOC 9"/>
    <w:basedOn w:val="Normal"/>
    <w:next w:val="Normal"/>
    <w:semiHidden/>
    <w:pPr>
      <w:spacing/>
      <w:ind w:left="1920"/>
    </w:pPr>
    <w:rPr/>
  </w:style>
  <w:style w:type="paragraph" w:styleId="Header">
    <w:name w:val="Header"/>
    <w:basedOn w:val="Normal"/>
    <w:link w:val="HeaderChar"/>
    <w:pPr>
      <w:tabs>
        <w:tab w:val="center" w:pos="4320"/>
        <w:tab w:val="right" w:pos="8640"/>
      </w:tabs>
      <w:spacing/>
    </w:pPr>
    <w:rPr/>
  </w:style>
  <w:style w:type="character" w:styleId="HeaderChar" w:customStyle="1">
    <w:name w:val="Header Char"/>
    <w:basedOn w:val="DefaultParagraphFont"/>
    <w:link w:val="Header"/>
    <w:rPr>
      <w:rFonts w:ascii="Times New Roman" w:hAnsi="Times New Roman" w:eastAsia="Times New Roman" w:cs="Times New Roman"/>
      <w:sz w:val="24"/>
      <w:szCs w:val="24"/>
    </w:rPr>
  </w:style>
  <w:style w:type="paragraph" w:styleId="Footer">
    <w:name w:val="Footer"/>
    <w:basedOn w:val="Normal"/>
    <w:link w:val="FooterChar"/>
    <w:pPr>
      <w:tabs>
        <w:tab w:val="center" w:pos="4320"/>
        <w:tab w:val="right" w:pos="8640"/>
      </w:tabs>
      <w:spacing/>
    </w:pPr>
    <w:rPr>
      <w:sz w:val="22"/>
    </w:rPr>
  </w:style>
  <w:style w:type="character" w:styleId="FooterChar" w:customStyle="1">
    <w:name w:val="Footer Char"/>
    <w:basedOn w:val="DefaultParagraphFont"/>
    <w:link w:val="Footer"/>
    <w:rPr>
      <w:rFonts w:ascii="Times New Roman" w:hAnsi="Times New Roman" w:eastAsia="Times New Roman" w:cs="Times New Roman"/>
      <w:sz w:val="22"/>
      <w:szCs w:val="24"/>
    </w:rPr>
  </w:style>
  <w:style w:type="paragraph" w:styleId="Dates" w:customStyle="1">
    <w:name w:val="Dates"/>
    <w:basedOn w:val="Article"/>
    <w:next w:val="LeadInSentence"/>
    <w:pPr>
      <w:spacing w:before="0" w:after="240"/>
      <w:contextualSpacing/>
    </w:pPr>
    <w:rPr/>
  </w:style>
  <w:style w:type="paragraph" w:styleId="BlockText">
    <w:name w:val="Block Text"/>
    <w:basedOn w:val="Normal"/>
    <w:pPr>
      <w:spacing w:after="120"/>
      <w:ind w:left="1440" w:right="1440"/>
    </w:pPr>
    <w:rPr/>
  </w:style>
  <w:style w:type="paragraph" w:styleId="Subdivision" w:customStyle="1">
    <w:name w:val="Subdivision"/>
    <w:basedOn w:val="Normal"/>
    <w:qFormat/>
    <w:pPr>
      <w:keepNext/>
      <w:widowControl w:val="true"/>
      <w:autoSpaceDE w:val="true"/>
      <w:autoSpaceDN w:val="true"/>
      <w:adjustRightInd w:val="true"/>
      <w:spacing w:before="120" w:after="240"/>
      <w:jc w:val="center"/>
    </w:pPr>
    <w:rPr>
      <w:caps/>
      <w:sz w:val="26"/>
      <w:szCs w:val="20"/>
    </w:rPr>
  </w:style>
  <w:style w:type="paragraph" w:styleId="BodyTextFirst" w:customStyle="1">
    <w:name w:val="Body Text + First"/>
    <w:basedOn w:val="BodyText"/>
    <w:pPr>
      <w:keepNext/>
      <w:keepLines/>
      <w:widowControl w:val="false"/>
      <w:spacing/>
      <w:ind w:left="1440"/>
    </w:pPr>
    <w:rPr/>
  </w:style>
  <w:style w:type="character" w:styleId="ArticleChar" w:customStyle="1">
    <w:name w:val="Article Char"/>
    <w:basedOn w:val="DefaultParagraphFont"/>
    <w:link w:val="Article"/>
    <w:rPr>
      <w:rFonts w:ascii="Times New Roman" w:hAnsi="Times New Roman" w:eastAsia="Times New Roman" w:cs="Times New Roman"/>
      <w:b/>
      <w:sz w:val="24"/>
    </w:rPr>
  </w:style>
  <w:style w:type="paragraph" w:styleId="BalloonText">
    <w:name w:val="Balloon Text"/>
    <w:basedOn w:val="Normal"/>
    <w:link w:val="BalloonTextChar"/>
    <w:pPr>
      <w:spacing/>
    </w:pPr>
    <w:rPr>
      <w:rFonts w:ascii="Tahoma" w:hAnsi="Tahoma" w:eastAsia="Tahoma" w:cs="Tahoma"/>
      <w:sz w:val="16"/>
      <w:szCs w:val="16"/>
    </w:rPr>
  </w:style>
  <w:style w:type="character" w:styleId="BalloonTextChar" w:customStyle="1">
    <w:name w:val="Balloon Text Char"/>
    <w:basedOn w:val="DefaultParagraphFont"/>
    <w:link w:val="BalloonText"/>
    <w:rPr>
      <w:rFonts w:ascii="Tahoma" w:hAnsi="Tahoma" w:eastAsia="Times New Roman" w:cs="Tahoma"/>
      <w:sz w:val="16"/>
      <w:szCs w:val="16"/>
    </w:rPr>
  </w:style>
  <w:style w:type="character" w:styleId="CommentReference" w:customStyle="1">
    <w:name w:val="annotation reference"/>
    <w:basedOn w:val="DefaultParagraphFont"/>
    <w:unhideWhenUsed/>
    <w:rPr>
      <w:sz w:val="16"/>
      <w:szCs w:val="16"/>
    </w:rPr>
  </w:style>
  <w:style w:type="paragraph" w:styleId="CommentText" w:customStyle="1">
    <w:name w:val="annotation text"/>
    <w:basedOn w:val="Normal"/>
    <w:link w:val="CommentTextChar"/>
    <w:unhideWhenUsed/>
    <w:pPr>
      <w:spacing/>
    </w:pPr>
    <w:rPr>
      <w:sz w:val="20"/>
      <w:szCs w:val="20"/>
    </w:rPr>
  </w:style>
  <w:style w:type="character" w:styleId="CommentTextChar" w:customStyle="1">
    <w:name w:val="Comment Text Char"/>
    <w:basedOn w:val="DefaultParagraphFont"/>
    <w:rPr>
      <w:rFonts w:ascii="Times New Roman" w:hAnsi="Times New Roman" w:eastAsia="Times New Roman" w:cs="Times New Roman"/>
    </w:rPr>
  </w:style>
  <w:style w:type="paragraph" w:styleId="PayItem" w:customStyle="1">
    <w:name w:val="PayItem"/>
    <w:basedOn w:val="BodyText"/>
    <w:pPr>
      <w:tabs>
        <w:tab w:val="clear" w:pos="720"/>
      </w:tabs>
      <w:spacing/>
      <w:ind w:left="3600" w:right="10" w:hanging="2170"/>
    </w:pPr>
    <w:rPr/>
  </w:style>
  <w:style w:type="paragraph" w:styleId="StyleBodyTextLeft1" w:customStyle="1">
    <w:name w:val="Style Body Text + Left: 1&quot;"/>
    <w:basedOn w:val="BodyText"/>
    <w:qFormat/>
    <w:pPr>
      <w:widowControl w:val="false"/>
      <w:spacing/>
      <w:ind w:left="1440"/>
    </w:pPr>
    <w:rPr/>
  </w:style>
  <w:style w:type="character" w:styleId="Heading4Char" w:customStyle="1">
    <w:name w:val="Heading 4 Char"/>
    <w:basedOn w:val="DefaultParagraphFont"/>
    <w:link w:val="Heading4"/>
    <w:rPr>
      <w:rFonts w:ascii="Goudy Old Style" w:hAnsi="Goudy Old Style" w:eastAsia="Times New Roman" w:cs="Goudy Old Style"/>
      <w:sz w:val="36"/>
      <w:szCs w:val="24"/>
    </w:rPr>
  </w:style>
  <w:style w:type="paragraph" w:styleId="Section80" w:customStyle="1">
    <w:name w:val="Section8"/>
    <w:basedOn w:val="Normal"/>
    <w:numPr>
      <w:ilvl w:val="0"/>
      <w:numId w:val="4"/>
    </w:numPr>
    <w:pPr>
      <w:numPr>
        <w:ilvl w:val="0"/>
        <w:numId w:val="4"/>
      </w:numPr>
      <w:tabs>
        <w:tab w:val="left" w:pos="1440"/>
        <w:tab w:val="left" w:pos="1800"/>
      </w:tabs>
      <w:spacing/>
      <w:outlineLvl w:val="7"/>
    </w:pPr>
    <w:rPr>
      <w:b/>
    </w:rPr>
  </w:style>
  <w:style w:type="paragraph" w:styleId="Section102" w:customStyle="1">
    <w:name w:val="Section102"/>
    <w:basedOn w:val="Section80"/>
    <w:numPr>
      <w:ilvl w:val="0"/>
      <w:numId w:val="5"/>
    </w:numPr>
    <w:pPr>
      <w:numPr>
        <w:ilvl w:val="0"/>
        <w:numId w:val="5"/>
      </w:numPr>
      <w:tabs>
        <w:tab w:val="left" w:pos="720"/>
        <w:tab w:val="left" w:pos="2160"/>
      </w:tabs>
      <w:spacing/>
      <w:outlineLvl w:val="8"/>
    </w:pPr>
    <w:rPr/>
  </w:style>
  <w:style w:type="character" w:styleId="Strong">
    <w:name w:val="Strong"/>
    <w:basedOn w:val="DefaultParagraphFont"/>
    <w:qFormat/>
    <w:rPr>
      <w:b/>
      <w:bCs/>
    </w:rPr>
  </w:style>
  <w:style w:type="paragraph" w:styleId="ListParagraph">
    <w:name w:val="List Paragraph"/>
    <w:basedOn w:val="Normal"/>
    <w:qFormat/>
    <w:pPr>
      <w:widowControl w:val="true"/>
      <w:autoSpaceDE w:val="true"/>
      <w:autoSpaceDN w:val="true"/>
      <w:adjustRightInd w:val="true"/>
      <w:spacing/>
      <w:ind w:left="720"/>
    </w:pPr>
    <w:rPr>
      <w:rFonts w:ascii="Calibri" w:hAnsi="Calibri" w:eastAsia="Calibri" w:cs="Calibri"/>
      <w:sz w:val="22"/>
      <w:szCs w:val="22"/>
    </w:rPr>
  </w:style>
  <w:style w:type="paragraph" w:styleId="CommentSubject" w:customStyle="1">
    <w:name w:val="annotation subject"/>
    <w:basedOn w:val="CommentText"/>
    <w:link w:val="CommentSubjectChar"/>
    <w:semiHidden/>
    <w:unhideWhenUsed/>
    <w:pPr>
      <w:spacing/>
    </w:pPr>
    <w:rPr>
      <w:b/>
      <w:bCs/>
    </w:rPr>
  </w:style>
  <w:style w:type="character" w:styleId="CommentSubjectChar" w:customStyle="1">
    <w:name w:val="Comment Subject Char"/>
    <w:basedOn w:val="DefaultParagraphFont"/>
    <w:semiHidden/>
    <w:rPr>
      <w:rFonts w:ascii="Times New Roman" w:hAnsi="Times New Roman" w:eastAsia="Times New Roman" w:cs="Times New Roman"/>
      <w:b/>
      <w:bCs/>
    </w:rPr>
  </w:style>
  <w:style w:type="paragraph" w:styleId="Revision" w:customStyle="1">
    <w:name w:val="Revision"/>
    <w:semiHidden/>
    <w:pPr>
      <w:spacing/>
    </w:pPr>
    <w:rPr>
      <w:rFonts w:ascii="Times New Roman" w:hAnsi="Times New Roman" w:eastAsia="Times New Roman" w:cs="Times New Roman"/>
      <w:sz w:val="24"/>
      <w:szCs w:val="24"/>
    </w:rPr>
  </w:style>
  <w:style w:type="character" w:styleId="Hyperlink">
    <w:name w:val="Hyperlink"/>
    <w:basedOn w:val="DefaultParagraphFont"/>
    <w:unhideWhenUsed/>
    <w:rPr>
      <w:color w:val="0563C1"/>
      <w:u w:val="single"/>
    </w:rPr>
  </w:style>
  <w:style w:type="character" w:styleId="UnresolvedMention" w:customStyle="1">
    <w:name w:val="Unresolved Mention"/>
    <w:basedOn w:val="DefaultParagraphFont"/>
    <w:semiHidden/>
    <w:unhideWhenUsed/>
    <w:rPr>
      <w:color w:val="808080"/>
      <w:shd w:val="clear" w:color="auto" w:fill="E6E6E6"/>
    </w:rPr>
  </w:style>
  <w:style w:type="character" w:styleId="FollowedHyperlink">
    <w:name w:val="FollowedHyperlink"/>
    <w:basedOn w:val="DefaultParagraphFont"/>
    <w:semiHidden/>
    <w:unhideWhenUsed/>
    <w:rPr>
      <w:color w:val="954F72"/>
      <w:u w:val="single"/>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es968dt/Application%20Data/Microsoft/Templates/specdevtemp2.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specdevtemp2</Template>
  <TotalTime>1</TotalTime>
  <Pages>3</Pages>
  <Words>906</Words>
  <Characters>5165</Characters>
  <Application>Microsoft Office Word</Application>
  <DocSecurity>0</DocSecurity>
  <Lines>43</Lines>
  <Paragraphs>12</Paragraphs>
  <Company>FDOT</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cp:keywords/>
  <cp:lastModifiedBy>Cunningham, Valencia</cp:lastModifiedBy>
  <cp:revision>2</cp:revision>
  <dcterms:created xsi:type="dcterms:W3CDTF">2020-02-25T19:56:00Z</dcterms:created>
  <dcterms:modified xsi:type="dcterms:W3CDTF">2020-02-25T19:56:00Z</dcterms:modified>
  <cp:category>Construction LAP </cp:category>
</cp:coreProperties>
</file>