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SHELL STABILIZED BASE (FOR LOCAL AGENCY USE – FDOT ARCHIVE SPECIFICATION)</w:t>
      </w:r>
      <w:r>
        <w:rPr/>
        <w:t xml:space="preserve">.</w:t>
      </w:r>
    </w:p>
    <w:p>
      <w:pPr>
        <w:pStyle w:val="Dates"/>
        <w:spacing/>
        <w:rPr/>
      </w:pPr>
      <w:r>
        <w:rPr/>
        <w:t xml:space="preserve">(REV 1-1-00) (1-13)</w:t>
      </w:r>
    </w:p>
    <w:p>
      <w:pPr>
        <w:pStyle w:val="SectionHeading"/>
        <w:spacing/>
        <w:rPr/>
      </w:pPr>
      <w:r>
        <w:rPr/>
        <w:t xml:space="preserve">SECTION 260</w:t>
      </w:r>
      <w:r>
        <w:rPr/>
        <w:br/>
      </w:r>
      <w:r>
        <w:rPr/>
        <w:t xml:space="preserve">SHELL STABILIZED BASE</w:t>
      </w:r>
    </w:p>
    <w:p>
      <w:pPr>
        <w:spacing/>
        <w:rPr>
          <w:szCs w:val="22"/>
        </w:rPr>
      </w:pPr>
    </w:p>
    <w:p>
      <w:pPr>
        <w:pStyle w:val="Article"/>
        <w:spacing/>
        <w:rPr/>
      </w:pPr>
      <w:r>
        <w:rPr/>
        <w:t xml:space="preserve">260-1 Description.</w:t>
      </w:r>
    </w:p>
    <w:p>
      <w:pPr>
        <w:pStyle w:val="BodyText"/>
        <w:spacing/>
        <w:rPr/>
      </w:pPr>
      <w:r>
        <w:rPr/>
        <w:tab/>
        <w:t xml:space="preserve"/>
      </w:r>
      <w:r>
        <w:rPr/>
        <w:t xml:space="preserve">Construct a base course composed of roadbed soil stabilized with shell.</w:t>
      </w:r>
    </w:p>
    <w:p>
      <w:pPr>
        <w:pStyle w:val="Article"/>
        <w:spacing/>
        <w:rPr/>
      </w:pPr>
      <w:r>
        <w:rPr/>
        <w:t xml:space="preserve">260-2 Materials.</w:t>
      </w:r>
    </w:p>
    <w:p>
      <w:pPr>
        <w:pStyle w:val="BodyText"/>
        <w:spacing/>
        <w:rPr/>
      </w:pPr>
      <w:r>
        <w:rPr/>
        <w:tab/>
        <w:t xml:space="preserve"/>
      </w:r>
      <w:r>
        <w:rPr/>
        <w:t xml:space="preserve">Meet the shell material requirements as specified in Section 913. Ensure that all roadbed material to be incorporated with the shell has at least the bearing value required by the plans for the subgrade.</w:t>
      </w:r>
    </w:p>
    <w:p>
      <w:pPr>
        <w:pStyle w:val="Article"/>
        <w:spacing/>
        <w:rPr/>
      </w:pPr>
      <w:r>
        <w:rPr/>
        <w:t xml:space="preserve">260-3 Equipment.</w:t>
      </w:r>
    </w:p>
    <w:p>
      <w:pPr>
        <w:pStyle w:val="BodyText"/>
        <w:spacing/>
        <w:rPr/>
      </w:pPr>
      <w:r>
        <w:rPr/>
        <w:tab/>
        <w:t xml:space="preserve"/>
      </w:r>
      <w:r>
        <w:rPr/>
        <w:t xml:space="preserve">Meet the requirements as specified in 230-3, and the following.</w:t>
      </w:r>
    </w:p>
    <w:p>
      <w:pPr>
        <w:pStyle w:val="BodyText"/>
        <w:spacing/>
        <w:rPr/>
      </w:pPr>
      <w:r>
        <w:rPr/>
        <w:tab/>
        <w:t xml:space="preserve"/>
      </w:r>
      <w:r>
        <w:rPr/>
        <w:t xml:space="preserve">For compacting, provide either sheepsfoot or grid-type rollers, properly weighted, supplemented by traffic rollers and such other compaction equipment as is required to obtain the specified density.</w:t>
      </w:r>
    </w:p>
    <w:p>
      <w:pPr>
        <w:pStyle w:val="Article"/>
        <w:spacing/>
        <w:rPr/>
      </w:pPr>
      <w:r>
        <w:rPr/>
        <w:t xml:space="preserve">260-4 Preparation of Roadbed.</w:t>
      </w:r>
    </w:p>
    <w:p>
      <w:pPr>
        <w:pStyle w:val="BodyText"/>
        <w:spacing/>
        <w:rPr/>
      </w:pPr>
      <w:r>
        <w:rPr/>
        <w:tab/>
        <w:t xml:space="preserve"/>
      </w:r>
      <w:r>
        <w:rPr/>
        <w:t xml:space="preserve">Meet the requirements of 230-4.</w:t>
      </w:r>
    </w:p>
    <w:p>
      <w:pPr>
        <w:pStyle w:val="Article"/>
        <w:spacing/>
        <w:rPr/>
      </w:pPr>
      <w:r>
        <w:rPr/>
        <w:t xml:space="preserve">260-5 Incorporation of Stabilizing Material and Mixing-In.</w:t>
      </w:r>
    </w:p>
    <w:p>
      <w:pPr>
        <w:pStyle w:val="BodyText"/>
        <w:spacing/>
        <w:rPr/>
      </w:pPr>
      <w:r>
        <w:rPr/>
        <w:tab/>
        <w:t xml:space="preserve"/>
      </w:r>
      <w:r>
        <w:rPr/>
        <w:t xml:space="preserve">Meet the requirements of 230-5.</w:t>
      </w:r>
    </w:p>
    <w:p>
      <w:pPr>
        <w:pStyle w:val="BodyText"/>
        <w:spacing/>
        <w:rPr/>
      </w:pPr>
      <w:r>
        <w:rPr/>
        <w:tab/>
        <w:t xml:space="preserve"/>
      </w:r>
      <w:r>
        <w:rPr/>
        <w:t xml:space="preserve">Where widening strips are not of sufficient width to permit the use of standard equipment and methods, the Contractor may (subject to the approval of the Engineer, and provided that he uses proper proportions of the shell base material and soil, as directed by the Engineer) mix the shell and soil at the side of the road and place the shell stabilized base material directly into the previously prepared trench.</w:t>
      </w:r>
    </w:p>
    <w:p>
      <w:pPr>
        <w:pStyle w:val="Article"/>
        <w:spacing/>
        <w:rPr/>
      </w:pPr>
      <w:r>
        <w:rPr/>
        <w:t xml:space="preserve">260-6 Compacting and Finishing Base.</w:t>
      </w:r>
    </w:p>
    <w:p>
      <w:pPr>
        <w:pStyle w:val="BodyText"/>
        <w:spacing/>
        <w:rPr/>
      </w:pPr>
      <w:r>
        <w:rPr/>
        <w:tab/>
        <w:t xml:space="preserve"/>
      </w:r>
      <w:r>
        <w:rPr>
          <w:b/>
          <w:bCs/>
        </w:rPr>
        <w:t xml:space="preserve">260-6.1 Rolling:</w:t>
      </w:r>
      <w:r>
        <w:rPr/>
        <w:t xml:space="preserve"> After spreading and mixing, compact the shell using either the grid-type roller or the sheepsfoot roller, properly weighted, adding water as required, until the required density has been obtained. Perform final rolling with traffic rollers and any other compaction equipment which will obtain the specified density.</w:t>
      </w:r>
    </w:p>
    <w:p>
      <w:pPr>
        <w:pStyle w:val="BodyText"/>
        <w:spacing/>
        <w:rPr/>
      </w:pPr>
      <w:r>
        <w:rPr/>
        <w:tab/>
        <w:t xml:space="preserve"/>
      </w:r>
      <w:r>
        <w:rPr>
          <w:b/>
          <w:bCs/>
        </w:rPr>
        <w:t xml:space="preserve">260-6.2 Compacting:</w:t>
      </w:r>
      <w:r>
        <w:rPr/>
        <w:t xml:space="preserve"> Meet the requirements of 200-6.1 through 200-6.4, except as follows. The Engineer will revise the method of making the density determinations, both the laboratory and the field, so that the Engineer determines the density on the completely mixed material, sampled after the final mixing on the project, with no elimination of any screened material.</w:t>
      </w:r>
    </w:p>
    <w:p>
      <w:pPr>
        <w:pStyle w:val="BodyText"/>
        <w:spacing/>
        <w:rPr/>
      </w:pPr>
      <w:r>
        <w:rPr/>
        <w:tab/>
        <w:t xml:space="preserve"/>
      </w:r>
      <w:r>
        <w:rPr>
          <w:b/>
          <w:bCs/>
        </w:rPr>
        <w:t xml:space="preserve">260-6.3 Widening Strips:</w:t>
      </w:r>
      <w:r>
        <w:rPr/>
        <w:t xml:space="preserve"> Meet the requirements of 200-6.6.</w:t>
      </w:r>
    </w:p>
    <w:p>
      <w:pPr>
        <w:pStyle w:val="Article"/>
        <w:spacing/>
        <w:rPr/>
      </w:pPr>
      <w:r>
        <w:rPr/>
        <w:t xml:space="preserve">260-7 Testing Surface.</w:t>
      </w:r>
    </w:p>
    <w:p>
      <w:pPr>
        <w:pStyle w:val="BodyText"/>
        <w:spacing/>
        <w:rPr/>
      </w:pPr>
      <w:r>
        <w:rPr/>
        <w:tab/>
        <w:t xml:space="preserve"/>
      </w:r>
      <w:r>
        <w:rPr/>
        <w:t xml:space="preserve">Test the surface in accordance with the requirements of 200-7.</w:t>
      </w:r>
    </w:p>
    <w:p>
      <w:pPr>
        <w:pStyle w:val="Article"/>
        <w:spacing/>
        <w:rPr/>
      </w:pPr>
      <w:r>
        <w:rPr/>
        <w:t xml:space="preserve">260-8 Protection, Priming, and Maintaining.</w:t>
      </w:r>
    </w:p>
    <w:p>
      <w:pPr>
        <w:pStyle w:val="BodyText"/>
        <w:spacing/>
        <w:rPr/>
      </w:pPr>
      <w:r>
        <w:rPr/>
        <w:tab/>
        <w:t xml:space="preserve"/>
      </w:r>
      <w:r>
        <w:rPr/>
        <w:t xml:space="preserve">Meet the requirements of 230-8, except for the requirements for moisture content at time of priming.</w:t>
      </w:r>
    </w:p>
    <w:p>
      <w:pPr>
        <w:pStyle w:val="Article"/>
        <w:spacing/>
        <w:rPr/>
      </w:pPr>
      <w:r>
        <w:rPr/>
        <w:t xml:space="preserve">260-9 Method of Measurement.</w:t>
      </w:r>
    </w:p>
    <w:p>
      <w:pPr>
        <w:pStyle w:val="BodyText"/>
        <w:spacing/>
        <w:rPr/>
      </w:pPr>
      <w:r>
        <w:rPr/>
        <w:tab/>
        <w:t xml:space="preserve"/>
      </w:r>
      <w:r>
        <w:rPr>
          <w:b/>
          <w:bCs/>
        </w:rPr>
        <w:t xml:space="preserve">260-9.1 General:</w:t>
      </w:r>
      <w:r>
        <w:rPr/>
        <w:t xml:space="preserve"> The quantities to be paid for will be (1) the plan quantity, in square yards [square meters], and (2) the volume, in cubic yards [cubic meters], of shell material, completed and accepted.</w:t>
      </w:r>
    </w:p>
    <w:p>
      <w:pPr>
        <w:pStyle w:val="BodyText"/>
        <w:spacing/>
        <w:rPr/>
      </w:pPr>
      <w:r>
        <w:rPr/>
        <w:tab/>
        <w:t xml:space="preserve"/>
      </w:r>
      <w:r>
        <w:rPr>
          <w:b/>
          <w:bCs/>
        </w:rPr>
        <w:t xml:space="preserve">260-9.2 Quantity of Shell:</w:t>
      </w:r>
      <w:r>
        <w:rPr/>
        <w:t xml:space="preserve"> The quantity will be determined by measurement in loose volume, in truck bodies, at the point where it is placed on the road with proper deduction for all materials wasted, left in trucks or otherwise not actually used in the road. For this purpose, level the material in the truck bodies to facilitate accurate measurement.</w:t>
      </w:r>
    </w:p>
    <w:p>
      <w:pPr>
        <w:pStyle w:val="Article"/>
        <w:spacing/>
        <w:rPr/>
      </w:pPr>
      <w:r>
        <w:rPr/>
        <w:t xml:space="preserve">260-10 Basis of Payment.</w:t>
      </w:r>
    </w:p>
    <w:p>
      <w:pPr>
        <w:pStyle w:val="BodyText"/>
        <w:spacing/>
        <w:rPr/>
      </w:pPr>
      <w:r>
        <w:rPr/>
        <w:tab/>
        <w:t xml:space="preserve"/>
      </w:r>
      <w:r>
        <w:rPr/>
        <w:t xml:space="preserve">Prices and payments will be full compensation for all work specified in this Section, including furnishing, hauling, placing, spreading, mixing, compacting, and finishing all shell stabilized material; any necessary excavating below the finished grade of the base to provide for placing the stabilized material; and disposing of all surplus excavation resulting from this work.</w:t>
      </w:r>
    </w:p>
    <w:p>
      <w:pPr>
        <w:pStyle w:val="BodyText"/>
        <w:spacing/>
        <w:rPr/>
      </w:pPr>
      <w:r>
        <w:rPr/>
        <w:tab/>
        <w:t xml:space="preserve"/>
      </w:r>
      <w:r>
        <w:rPr/>
        <w:t xml:space="preserve">Where extra shell material is placed at locations of culverts, etc., as detailed in the plans, the volume of such material will be included in the quantity of Shell Base Material to be paid for, but no adjustment will be made in the area of base to be paid for.</w:t>
      </w:r>
    </w:p>
    <w:p>
      <w:pPr>
        <w:pStyle w:val="BodyText"/>
        <w:spacing/>
        <w:rPr/>
      </w:pPr>
      <w:r>
        <w:rPr/>
        <w:tab/>
        <w:t xml:space="preserve"/>
      </w:r>
      <w:r>
        <w:rPr/>
        <w:t xml:space="preserve">Prime coat will be paid for under Section 300.</w:t>
      </w:r>
    </w:p>
    <w:p>
      <w:pPr>
        <w:pStyle w:val="BodyText"/>
        <w:spacing/>
        <w:rPr/>
      </w:pPr>
      <w:r>
        <w:rPr/>
        <w:tab/>
        <w:t xml:space="preserve"/>
      </w:r>
      <w:r>
        <w:rPr/>
        <w:t xml:space="preserve">Payment will be made under:</w:t>
      </w:r>
    </w:p>
    <w:p>
      <w:pPr>
        <w:pStyle w:val="BodyText"/>
        <w:spacing/>
        <w:ind w:left="1440"/>
        <w:rPr/>
      </w:pPr>
      <w:r>
        <w:rPr/>
        <w:t xml:space="preserve">Item No.   260-  1-</w:t>
      </w:r>
      <w:r>
        <w:rPr/>
        <w:tab/>
        <w:t xml:space="preserve"/>
      </w:r>
      <w:r>
        <w:rPr/>
        <w:t xml:space="preserve">Shell Stabilized Base - per square yard.</w:t>
      </w:r>
    </w:p>
    <w:p>
      <w:pPr>
        <w:pStyle w:val="BodyText"/>
        <w:spacing/>
        <w:ind w:left="1440"/>
        <w:rPr/>
      </w:pPr>
      <w:r>
        <w:rPr/>
        <w:t xml:space="preserve">Item No. 2260-  1-</w:t>
      </w:r>
      <w:r>
        <w:rPr/>
        <w:tab/>
        <w:t xml:space="preserve"/>
      </w:r>
      <w:r>
        <w:rPr/>
        <w:t xml:space="preserve">Shell Stabilized Base - per square meter.</w:t>
      </w:r>
    </w:p>
    <w:p>
      <w:pPr>
        <w:pStyle w:val="BodyText"/>
        <w:spacing/>
        <w:ind w:left="1440"/>
        <w:rPr/>
      </w:pPr>
      <w:r>
        <w:rPr/>
        <w:t xml:space="preserve">Item No.   260-  2-</w:t>
      </w:r>
      <w:r>
        <w:rPr/>
        <w:tab/>
        <w:t xml:space="preserve"/>
      </w:r>
      <w:r>
        <w:rPr/>
        <w:t xml:space="preserve">Shell Base Material - per cubic yard.</w:t>
      </w:r>
    </w:p>
    <w:p>
      <w:pPr>
        <w:pStyle w:val="BodyText"/>
        <w:spacing/>
        <w:ind w:left="1440"/>
        <w:rPr/>
      </w:pPr>
      <w:r>
        <w:rPr/>
        <w:t xml:space="preserve">Item No. 2260-  2-</w:t>
      </w:r>
      <w:r>
        <w:rPr/>
        <w:tab/>
        <w:t xml:space="preserve"/>
      </w:r>
      <w:r>
        <w:rPr/>
        <w:t xml:space="preserve">Shell Base Material - per cubic meter.</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Footer">
    <w:name w:val="Footer"/>
    <w:basedOn w:val="Normal"/>
    <w:pPr>
      <w:tabs>
        <w:tab w:val="center" w:pos="4320"/>
        <w:tab w:val="right" w:pos="8640"/>
      </w:tabs>
      <w:spacing/>
    </w:pPr>
    <w:rPr>
      <w:sz w:val="22"/>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3Char" w:customStyle="1">
    <w:name w:val="Heading 3 Char"/>
    <w:basedOn w:val="DefaultParagraphFont"/>
    <w:link w:val="Heading3"/>
    <w:rPr>
      <w:rFonts w:cs="Arial"/>
      <w:bCs/>
      <w:sz w:val="24"/>
      <w:szCs w:val="26"/>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582</Words>
  <Characters>3319</Characters>
  <Application>Microsoft Office Word</Application>
  <DocSecurity>0</DocSecurity>
  <Lines>27</Lines>
  <Paragraphs>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Dianne M. Perkins</dc:creator>
  <cp:keywords/>
  <dc:description/>
  <cp:lastModifiedBy>Abrahams, Hill</cp:lastModifiedBy>
  <cp:revision>2</cp:revision>
  <dcterms:created xsi:type="dcterms:W3CDTF">2019-04-09T14:51:00Z</dcterms:created>
  <dcterms:modified xsi:type="dcterms:W3CDTF">2019-04-09T14:51:00Z</dcterms:modified>
</cp:coreProperties>
</file>